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5320DC" w:rsidRPr="00B551B5">
        <w:rPr>
          <w:noProof w:val="0"/>
          <w:sz w:val="24"/>
          <w:szCs w:val="24"/>
          <w:lang w:val="en-GB"/>
        </w:rPr>
        <w:t>#</w:t>
      </w:r>
      <w:r w:rsidR="007C5C15">
        <w:rPr>
          <w:noProof w:val="0"/>
          <w:sz w:val="24"/>
          <w:szCs w:val="24"/>
          <w:lang w:val="en-GB"/>
        </w:rPr>
        <w:t>8</w:t>
      </w:r>
      <w:r w:rsidR="00877C60">
        <w:rPr>
          <w:noProof w:val="0"/>
          <w:sz w:val="24"/>
          <w:szCs w:val="24"/>
          <w:lang w:val="en-GB"/>
        </w:rPr>
        <w:t>3</w:t>
      </w:r>
      <w:r w:rsidR="00B551B5" w:rsidRPr="00B551B5">
        <w:rPr>
          <w:noProof w:val="0"/>
          <w:sz w:val="24"/>
          <w:szCs w:val="24"/>
          <w:lang w:val="en-GB"/>
        </w:rPr>
        <w:t xml:space="preserve"> </w:t>
      </w:r>
      <w:r w:rsidR="00B551B5">
        <w:rPr>
          <w:noProof w:val="0"/>
          <w:sz w:val="24"/>
          <w:lang w:val="en-GB"/>
        </w:rPr>
        <w:t>Meeting</w:t>
      </w:r>
      <w:r w:rsidRPr="008C1FE3">
        <w:rPr>
          <w:bCs/>
          <w:noProof w:val="0"/>
          <w:sz w:val="24"/>
          <w:lang w:val="en-GB"/>
        </w:rPr>
        <w:tab/>
      </w:r>
      <w:r w:rsidR="002350C8" w:rsidRPr="002350C8">
        <w:rPr>
          <w:bCs/>
          <w:noProof w:val="0"/>
          <w:sz w:val="24"/>
          <w:lang w:val="en-GB" w:eastAsia="ja-JP"/>
        </w:rPr>
        <w:t>R4-170</w:t>
      </w:r>
      <w:r w:rsidR="00CA301B">
        <w:rPr>
          <w:bCs/>
          <w:noProof w:val="0"/>
          <w:sz w:val="24"/>
          <w:lang w:val="en-GB" w:eastAsia="ja-JP"/>
        </w:rPr>
        <w:t>5698</w:t>
      </w:r>
    </w:p>
    <w:p w:rsidR="00787640" w:rsidRPr="00461210" w:rsidRDefault="00877C60" w:rsidP="00F7039A">
      <w:pPr>
        <w:pStyle w:val="Header"/>
        <w:tabs>
          <w:tab w:val="right" w:pos="9639"/>
        </w:tabs>
        <w:rPr>
          <w:bCs/>
          <w:noProof w:val="0"/>
          <w:sz w:val="24"/>
          <w:lang w:val="en-GB"/>
        </w:rPr>
      </w:pPr>
      <w:r>
        <w:rPr>
          <w:noProof w:val="0"/>
          <w:sz w:val="24"/>
          <w:lang w:val="en-GB"/>
        </w:rPr>
        <w:t>Hangzhou</w:t>
      </w:r>
      <w:r w:rsidR="00A07F41">
        <w:rPr>
          <w:noProof w:val="0"/>
          <w:sz w:val="24"/>
          <w:lang w:val="en-GB"/>
        </w:rPr>
        <w:t xml:space="preserve">, </w:t>
      </w:r>
      <w:r>
        <w:rPr>
          <w:noProof w:val="0"/>
          <w:sz w:val="24"/>
          <w:lang w:val="en-GB"/>
        </w:rPr>
        <w:t>China</w:t>
      </w:r>
      <w:r w:rsidR="00E176EA">
        <w:rPr>
          <w:noProof w:val="0"/>
          <w:sz w:val="24"/>
          <w:lang w:val="en-GB"/>
        </w:rPr>
        <w:t xml:space="preserve">, </w:t>
      </w:r>
      <w:r>
        <w:rPr>
          <w:bCs/>
          <w:sz w:val="24"/>
          <w:lang w:eastAsia="zh-CN"/>
        </w:rPr>
        <w:t>15</w:t>
      </w:r>
      <w:r w:rsidR="009B7B48">
        <w:rPr>
          <w:bCs/>
          <w:sz w:val="24"/>
          <w:lang w:eastAsia="zh-CN"/>
        </w:rPr>
        <w:t xml:space="preserve"> </w:t>
      </w:r>
      <w:r w:rsidR="008579DF">
        <w:rPr>
          <w:bCs/>
          <w:sz w:val="24"/>
          <w:lang w:eastAsia="zh-CN"/>
        </w:rPr>
        <w:t>-</w:t>
      </w:r>
      <w:r w:rsidR="009B7B48">
        <w:rPr>
          <w:bCs/>
          <w:sz w:val="24"/>
          <w:lang w:eastAsia="zh-CN"/>
        </w:rPr>
        <w:t xml:space="preserve"> </w:t>
      </w:r>
      <w:r>
        <w:rPr>
          <w:bCs/>
          <w:sz w:val="24"/>
          <w:lang w:eastAsia="zh-CN"/>
        </w:rPr>
        <w:t>19</w:t>
      </w:r>
      <w:r w:rsidR="00D1404E">
        <w:rPr>
          <w:bCs/>
          <w:sz w:val="24"/>
          <w:lang w:eastAsia="zh-CN"/>
        </w:rPr>
        <w:t xml:space="preserve"> </w:t>
      </w:r>
      <w:r>
        <w:rPr>
          <w:bCs/>
          <w:sz w:val="24"/>
          <w:lang w:eastAsia="zh-CN"/>
        </w:rPr>
        <w:t>May</w:t>
      </w:r>
      <w:r w:rsidR="009B7B48">
        <w:rPr>
          <w:bCs/>
          <w:sz w:val="24"/>
          <w:lang w:eastAsia="zh-CN"/>
        </w:rPr>
        <w:t xml:space="preserve"> </w:t>
      </w:r>
      <w:r w:rsidR="00D1404E" w:rsidRPr="00235B77">
        <w:rPr>
          <w:bCs/>
          <w:sz w:val="24"/>
          <w:lang w:eastAsia="zh-CN"/>
        </w:rPr>
        <w:t>201</w:t>
      </w:r>
      <w:r w:rsidR="00F77362">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B7F1C">
        <w:rPr>
          <w:rFonts w:ascii="Arial" w:hAnsi="Arial" w:cs="Arial"/>
          <w:b/>
          <w:bCs/>
          <w:sz w:val="24"/>
        </w:rPr>
        <w:t>Wide band operation and channel bandwidth</w:t>
      </w:r>
      <w:r w:rsidR="00FC201D">
        <w:rPr>
          <w:rFonts w:ascii="Arial" w:hAnsi="Arial" w:cs="Arial"/>
          <w:b/>
          <w:bCs/>
          <w:sz w:val="24"/>
        </w:rPr>
        <w:t xml:space="preserve"> in the NR</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15CD3">
        <w:rPr>
          <w:rFonts w:cs="Arial"/>
          <w:b/>
          <w:bCs/>
          <w:sz w:val="24"/>
        </w:rPr>
        <w:t>10.3.1</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8C0790">
        <w:rPr>
          <w:rFonts w:ascii="Arial" w:hAnsi="Arial" w:cs="Arial"/>
          <w:b/>
          <w:bCs/>
          <w:sz w:val="24"/>
        </w:rPr>
        <w:t>Discussion</w:t>
      </w:r>
    </w:p>
    <w:p w:rsidR="0034111C" w:rsidRPr="007B7496" w:rsidRDefault="0034111C">
      <w:pPr>
        <w:pStyle w:val="Heading1"/>
      </w:pPr>
      <w:r w:rsidRPr="007B7496">
        <w:t>1</w:t>
      </w:r>
      <w:r w:rsidRPr="007B7496">
        <w:tab/>
      </w:r>
      <w:r w:rsidR="00EE7FA7" w:rsidRPr="007B7496">
        <w:t>Introduction</w:t>
      </w:r>
    </w:p>
    <w:p w:rsidR="0024658D" w:rsidRDefault="0024658D" w:rsidP="00B551B5">
      <w:pPr>
        <w:pStyle w:val="Doc-text2"/>
        <w:ind w:left="0" w:firstLine="0"/>
        <w:rPr>
          <w:rFonts w:ascii="Times New Roman" w:hAnsi="Times New Roman"/>
          <w:sz w:val="20"/>
          <w:lang w:val="en-US"/>
        </w:rPr>
      </w:pPr>
      <w:bookmarkStart w:id="5" w:name="OLE_LINK13"/>
      <w:bookmarkStart w:id="6" w:name="OLE_LINK14"/>
    </w:p>
    <w:p w:rsidR="00BD0088" w:rsidRDefault="00BD0088" w:rsidP="00BD0088">
      <w:r>
        <w:t xml:space="preserve">LS from RAN1 </w:t>
      </w:r>
      <w:r w:rsidR="00FA5960">
        <w:t xml:space="preserve">[1] </w:t>
      </w:r>
      <w:r>
        <w:t>indicates the agreement on the wideband operation in the following.</w:t>
      </w:r>
    </w:p>
    <w:p w:rsidR="00BD0088" w:rsidRPr="00724D07" w:rsidRDefault="00BD0088" w:rsidP="00BD0088">
      <w:pPr>
        <w:numPr>
          <w:ilvl w:val="0"/>
          <w:numId w:val="28"/>
        </w:numPr>
        <w:spacing w:after="0" w:line="240" w:lineRule="auto"/>
        <w:rPr>
          <w:rFonts w:ascii="Courier New" w:eastAsia="ＭＳ 明朝" w:hAnsi="Courier New" w:cs="Courier New"/>
        </w:rPr>
      </w:pPr>
      <w:r w:rsidRPr="00724D07">
        <w:rPr>
          <w:rFonts w:ascii="Courier New" w:eastAsia="ＭＳ 明朝" w:hAnsi="Courier New" w:cs="Courier New"/>
        </w:rPr>
        <w:t xml:space="preserve">Support the following: </w:t>
      </w:r>
    </w:p>
    <w:p w:rsidR="00BD0088" w:rsidRPr="00724D07" w:rsidRDefault="00BD0088" w:rsidP="00BD0088">
      <w:pPr>
        <w:numPr>
          <w:ilvl w:val="1"/>
          <w:numId w:val="28"/>
        </w:numPr>
        <w:spacing w:after="0" w:line="240" w:lineRule="auto"/>
        <w:rPr>
          <w:rFonts w:ascii="Courier New" w:eastAsia="ＭＳ 明朝" w:hAnsi="Courier New" w:cs="Courier New"/>
        </w:rPr>
      </w:pPr>
      <w:r w:rsidRPr="00724D07">
        <w:rPr>
          <w:rFonts w:ascii="Courier New" w:eastAsia="ＭＳ 明朝" w:hAnsi="Courier New" w:cs="Courier New"/>
        </w:rPr>
        <w:t xml:space="preserve">A </w:t>
      </w:r>
      <w:proofErr w:type="spellStart"/>
      <w:r w:rsidRPr="00724D07">
        <w:rPr>
          <w:rFonts w:ascii="Courier New" w:eastAsia="ＭＳ 明朝" w:hAnsi="Courier New" w:cs="Courier New"/>
        </w:rPr>
        <w:t>gNB</w:t>
      </w:r>
      <w:proofErr w:type="spellEnd"/>
      <w:r w:rsidRPr="00724D07">
        <w:rPr>
          <w:rFonts w:ascii="Courier New" w:eastAsia="ＭＳ 明朝" w:hAnsi="Courier New" w:cs="Courier New"/>
        </w:rPr>
        <w:t xml:space="preserve"> can operate simultaneously as wideband CC for some UEs and as a set of intra-band contiguous CCs with CA for other UEs </w:t>
      </w:r>
    </w:p>
    <w:p w:rsidR="00BD0088" w:rsidRPr="00724D07" w:rsidRDefault="00BD0088" w:rsidP="00BD0088">
      <w:pPr>
        <w:numPr>
          <w:ilvl w:val="2"/>
          <w:numId w:val="28"/>
        </w:numPr>
        <w:spacing w:after="0" w:line="240" w:lineRule="auto"/>
        <w:rPr>
          <w:rFonts w:ascii="Courier New" w:eastAsia="ＭＳ 明朝" w:hAnsi="Courier New" w:cs="Courier New"/>
        </w:rPr>
      </w:pPr>
      <w:r w:rsidRPr="00724D07">
        <w:rPr>
          <w:rFonts w:ascii="Courier New" w:eastAsia="ＭＳ 明朝" w:hAnsi="Courier New" w:cs="Courier New"/>
        </w:rPr>
        <w:t xml:space="preserve">RAN1 believes that it is beneficial to allow zero </w:t>
      </w:r>
      <w:proofErr w:type="spellStart"/>
      <w:r w:rsidRPr="00724D07">
        <w:rPr>
          <w:rFonts w:ascii="Courier New" w:eastAsia="ＭＳ 明朝" w:hAnsi="Courier New" w:cs="Courier New"/>
        </w:rPr>
        <w:t>guardband</w:t>
      </w:r>
      <w:proofErr w:type="spellEnd"/>
      <w:r w:rsidRPr="00724D07">
        <w:rPr>
          <w:rFonts w:ascii="Courier New" w:eastAsia="ＭＳ 明朝" w:hAnsi="Courier New" w:cs="Courier New"/>
        </w:rPr>
        <w:t xml:space="preserve"> between CCs within wideband CC and asks RAN4 to take it into account when discussing channel raster</w:t>
      </w:r>
    </w:p>
    <w:p w:rsidR="00BD0088" w:rsidRPr="00724D07" w:rsidRDefault="00BD0088" w:rsidP="00BD0088">
      <w:pPr>
        <w:numPr>
          <w:ilvl w:val="3"/>
          <w:numId w:val="28"/>
        </w:numPr>
        <w:spacing w:after="0" w:line="240" w:lineRule="auto"/>
        <w:rPr>
          <w:rFonts w:ascii="Courier New" w:eastAsia="ＭＳ 明朝" w:hAnsi="Courier New" w:cs="Courier New"/>
        </w:rPr>
      </w:pPr>
      <w:r w:rsidRPr="00724D07">
        <w:rPr>
          <w:rFonts w:ascii="Courier New" w:eastAsia="ＭＳ 明朝" w:hAnsi="Courier New" w:cs="Courier New"/>
        </w:rPr>
        <w:t>If there are scenarios where guard band is considered necessary, strive to minimize the number of subcarriers for guard-band between CCs within wideband CC</w:t>
      </w:r>
    </w:p>
    <w:p w:rsidR="00BD0088" w:rsidRPr="00724D07" w:rsidRDefault="00BD0088" w:rsidP="00BD0088">
      <w:pPr>
        <w:numPr>
          <w:ilvl w:val="3"/>
          <w:numId w:val="28"/>
        </w:numPr>
        <w:spacing w:after="0" w:line="240" w:lineRule="auto"/>
        <w:rPr>
          <w:rFonts w:ascii="Courier New" w:eastAsia="ＭＳ 明朝" w:hAnsi="Courier New" w:cs="Courier New"/>
        </w:rPr>
      </w:pPr>
      <w:r w:rsidRPr="00724D07">
        <w:rPr>
          <w:rFonts w:ascii="Courier New" w:eastAsia="ＭＳ 明朝" w:hAnsi="Courier New" w:cs="Courier New"/>
        </w:rPr>
        <w:t xml:space="preserve">It is RAN1 understanding that guard band might be supported by RAN4 </w:t>
      </w:r>
    </w:p>
    <w:p w:rsidR="00BD0088" w:rsidRPr="00724D07" w:rsidRDefault="00BD0088" w:rsidP="00BD0088">
      <w:pPr>
        <w:numPr>
          <w:ilvl w:val="2"/>
          <w:numId w:val="28"/>
        </w:numPr>
        <w:spacing w:after="0" w:line="240" w:lineRule="auto"/>
        <w:rPr>
          <w:rFonts w:ascii="Courier New" w:eastAsia="ＭＳ 明朝" w:hAnsi="Courier New" w:cs="Courier New"/>
        </w:rPr>
      </w:pPr>
      <w:r w:rsidRPr="00724D07">
        <w:rPr>
          <w:rFonts w:ascii="Courier New" w:eastAsia="ＭＳ 明朝" w:hAnsi="Courier New" w:cs="Courier New"/>
        </w:rPr>
        <w:t>Allow single or multiple Sync signal locations in wideband CC</w:t>
      </w:r>
    </w:p>
    <w:p w:rsidR="00BD0088" w:rsidRPr="00724D07" w:rsidRDefault="00BD0088" w:rsidP="00BD0088">
      <w:pPr>
        <w:numPr>
          <w:ilvl w:val="0"/>
          <w:numId w:val="28"/>
        </w:numPr>
        <w:spacing w:after="0" w:line="240" w:lineRule="auto"/>
        <w:rPr>
          <w:rFonts w:ascii="Courier New" w:eastAsia="ＭＳ 明朝" w:hAnsi="Courier New" w:cs="Courier New"/>
        </w:rPr>
      </w:pPr>
      <w:r w:rsidRPr="00724D07">
        <w:rPr>
          <w:rFonts w:ascii="Courier New" w:eastAsia="ＭＳ 明朝" w:hAnsi="Courier New" w:cs="Courier New"/>
        </w:rPr>
        <w:t xml:space="preserve">Consider further impact on design for: </w:t>
      </w:r>
    </w:p>
    <w:p w:rsidR="00BD0088" w:rsidRPr="00724D07" w:rsidRDefault="00BD0088" w:rsidP="00BD0088">
      <w:pPr>
        <w:numPr>
          <w:ilvl w:val="1"/>
          <w:numId w:val="28"/>
        </w:numPr>
        <w:spacing w:after="0" w:line="240" w:lineRule="auto"/>
        <w:rPr>
          <w:rFonts w:ascii="Courier New" w:eastAsia="ＭＳ 明朝" w:hAnsi="Courier New" w:cs="Courier New"/>
        </w:rPr>
      </w:pPr>
      <w:r w:rsidRPr="00724D07">
        <w:rPr>
          <w:rFonts w:ascii="Courier New" w:eastAsia="ＭＳ 明朝" w:hAnsi="Courier New" w:cs="Courier New"/>
        </w:rPr>
        <w:t>Reference signals</w:t>
      </w:r>
    </w:p>
    <w:p w:rsidR="00BD0088" w:rsidRDefault="00BD0088" w:rsidP="00BD0088">
      <w:pPr>
        <w:numPr>
          <w:ilvl w:val="1"/>
          <w:numId w:val="28"/>
        </w:numPr>
        <w:spacing w:after="0" w:line="240" w:lineRule="auto"/>
        <w:rPr>
          <w:rFonts w:ascii="Courier New" w:eastAsia="ＭＳ 明朝" w:hAnsi="Courier New" w:cs="Courier New"/>
        </w:rPr>
      </w:pPr>
      <w:r w:rsidRPr="00724D07">
        <w:rPr>
          <w:rFonts w:ascii="Courier New" w:eastAsia="ＭＳ 明朝" w:hAnsi="Courier New" w:cs="Courier New"/>
        </w:rPr>
        <w:t xml:space="preserve">Resource Block Group design and CSI </w:t>
      </w:r>
      <w:proofErr w:type="spellStart"/>
      <w:r w:rsidRPr="00724D07">
        <w:rPr>
          <w:rFonts w:ascii="Courier New" w:eastAsia="ＭＳ 明朝" w:hAnsi="Courier New" w:cs="Courier New"/>
        </w:rPr>
        <w:t>subbands</w:t>
      </w:r>
      <w:proofErr w:type="spellEnd"/>
    </w:p>
    <w:p w:rsidR="007116C6" w:rsidRDefault="007116C6" w:rsidP="007116C6"/>
    <w:p w:rsidR="007116C6" w:rsidRPr="00724D07" w:rsidRDefault="007116C6" w:rsidP="007116C6">
      <w:r>
        <w:t xml:space="preserve">In this </w:t>
      </w:r>
      <w:r w:rsidR="006A57F7">
        <w:t>paper,</w:t>
      </w:r>
      <w:r>
        <w:t xml:space="preserve"> we discuss the wideband operation </w:t>
      </w:r>
      <w:r w:rsidR="002135D4">
        <w:t>aspects and impacts to RAN4 NR specifications.</w:t>
      </w:r>
    </w:p>
    <w:p w:rsidR="00BD0088" w:rsidRPr="00FD060A" w:rsidRDefault="00BD0088" w:rsidP="00B551B5">
      <w:pPr>
        <w:pStyle w:val="Doc-text2"/>
        <w:ind w:left="0" w:firstLine="0"/>
        <w:rPr>
          <w:rFonts w:ascii="Times New Roman" w:hAnsi="Times New Roman"/>
          <w:sz w:val="20"/>
          <w:lang w:val="en-US"/>
        </w:rPr>
      </w:pPr>
    </w:p>
    <w:bookmarkEnd w:id="5"/>
    <w:bookmarkEnd w:id="6"/>
    <w:p w:rsidR="00423A6A" w:rsidRDefault="00423A6A" w:rsidP="00423A6A">
      <w:pPr>
        <w:pStyle w:val="Heading1"/>
      </w:pPr>
      <w:r>
        <w:t>2</w:t>
      </w:r>
      <w:r>
        <w:tab/>
      </w:r>
      <w:r w:rsidR="002E6D98">
        <w:t>Discussion</w:t>
      </w:r>
    </w:p>
    <w:p w:rsidR="007116C6" w:rsidRPr="007116C6" w:rsidRDefault="007116C6" w:rsidP="007116C6">
      <w:pPr>
        <w:pStyle w:val="Heading3"/>
      </w:pPr>
      <w:r>
        <w:t xml:space="preserve">2.1 Wideband operation in the NR via single carrier </w:t>
      </w:r>
      <w:r w:rsidR="00105232">
        <w:t>and</w:t>
      </w:r>
      <w:r>
        <w:t xml:space="preserve"> multiple carriers</w:t>
      </w:r>
    </w:p>
    <w:p w:rsidR="00D70DD4" w:rsidRDefault="00FC201D" w:rsidP="007116C6">
      <w:pPr>
        <w:rPr>
          <w:lang w:val="en-GB" w:eastAsia="en-US"/>
        </w:rPr>
      </w:pPr>
      <w:r>
        <w:rPr>
          <w:lang w:val="en-GB" w:eastAsia="en-US"/>
        </w:rPr>
        <w:t>First, it is wort revisiting what is specified in LTE</w:t>
      </w:r>
      <w:r w:rsidR="00736FE1">
        <w:rPr>
          <w:lang w:val="en-GB" w:eastAsia="en-US"/>
        </w:rPr>
        <w:t xml:space="preserve"> about wideband operation</w:t>
      </w:r>
      <w:r>
        <w:rPr>
          <w:lang w:val="en-GB" w:eastAsia="en-US"/>
        </w:rPr>
        <w:t>.</w:t>
      </w:r>
      <w:r w:rsidR="00736FE1">
        <w:rPr>
          <w:lang w:val="en-GB" w:eastAsia="en-US"/>
        </w:rPr>
        <w:t xml:space="preserve"> In LTE, wideband operation is based on carrier aggregation </w:t>
      </w:r>
      <w:r w:rsidR="00AE6D7E">
        <w:rPr>
          <w:lang w:val="en-GB" w:eastAsia="en-US"/>
        </w:rPr>
        <w:t xml:space="preserve">of multiple </w:t>
      </w:r>
      <w:r w:rsidR="002135D4">
        <w:rPr>
          <w:lang w:val="en-GB" w:eastAsia="en-US"/>
        </w:rPr>
        <w:t>transmission bandwidth configurations</w:t>
      </w:r>
      <w:r w:rsidR="00AE6D7E">
        <w:rPr>
          <w:lang w:val="en-GB" w:eastAsia="en-US"/>
        </w:rPr>
        <w:t xml:space="preserve"> </w:t>
      </w:r>
      <w:r w:rsidR="00736FE1">
        <w:rPr>
          <w:lang w:val="en-GB" w:eastAsia="en-US"/>
        </w:rPr>
        <w:t xml:space="preserve">as illustrated in </w:t>
      </w:r>
      <w:r w:rsidR="00E11A88">
        <w:rPr>
          <w:lang w:val="en-GB" w:eastAsia="en-US"/>
        </w:rPr>
        <w:t>Figure 1.</w:t>
      </w:r>
    </w:p>
    <w:p w:rsidR="007116C6" w:rsidRDefault="007116C6" w:rsidP="007116C6">
      <w:pPr>
        <w:rPr>
          <w:rFonts w:ascii="Times New Roman" w:hAnsi="Times New Roman"/>
          <w:sz w:val="20"/>
          <w:lang w:val="en-GB"/>
        </w:rPr>
      </w:pPr>
    </w:p>
    <w:p w:rsidR="00E60826" w:rsidRDefault="00E11A88" w:rsidP="00FD060A">
      <w:pPr>
        <w:pStyle w:val="Doc-text2"/>
        <w:ind w:left="0" w:firstLine="0"/>
      </w:pPr>
      <w:r>
        <w:rPr>
          <w:noProof/>
          <w:lang w:val="en-US" w:eastAsia="ja-JP"/>
        </w:rPr>
        <w:lastRenderedPageBreak/>
        <w:drawing>
          <wp:inline distT="0" distB="0" distL="0" distR="0">
            <wp:extent cx="6120130" cy="29224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922481"/>
                    </a:xfrm>
                    <a:prstGeom prst="rect">
                      <a:avLst/>
                    </a:prstGeom>
                    <a:noFill/>
                    <a:ln>
                      <a:noFill/>
                    </a:ln>
                  </pic:spPr>
                </pic:pic>
              </a:graphicData>
            </a:graphic>
          </wp:inline>
        </w:drawing>
      </w:r>
    </w:p>
    <w:p w:rsidR="00FC201D" w:rsidRDefault="009A280F" w:rsidP="009A280F">
      <w:pPr>
        <w:pStyle w:val="Caption"/>
        <w:jc w:val="center"/>
      </w:pPr>
      <w:r>
        <w:t xml:space="preserve">Figure 1: LTE wideband operation with </w:t>
      </w:r>
      <w:r w:rsidR="00E11A88">
        <w:t xml:space="preserve">intra-band </w:t>
      </w:r>
      <w:r>
        <w:t>carrier aggregation</w:t>
      </w:r>
    </w:p>
    <w:p w:rsidR="009A280F" w:rsidRDefault="00050CA7" w:rsidP="00050CA7">
      <w:r>
        <w:t xml:space="preserve">From UE point of view, one of the transmission bandwidth </w:t>
      </w:r>
      <w:r w:rsidR="00A16E81">
        <w:t xml:space="preserve">configurations </w:t>
      </w:r>
      <w:r>
        <w:t xml:space="preserve">corresponds to </w:t>
      </w:r>
      <w:proofErr w:type="spellStart"/>
      <w:r>
        <w:t>Pcell</w:t>
      </w:r>
      <w:proofErr w:type="spellEnd"/>
      <w:r>
        <w:t xml:space="preserve">, and others are </w:t>
      </w:r>
      <w:proofErr w:type="spellStart"/>
      <w:r>
        <w:t>Scell</w:t>
      </w:r>
      <w:proofErr w:type="spellEnd"/>
      <w:r>
        <w:t xml:space="preserve"> if carrier aggregation is used. If carrier aggregation </w:t>
      </w:r>
      <w:r w:rsidR="002135D4">
        <w:t>is not used by UE, the UE only transmit</w:t>
      </w:r>
      <w:r>
        <w:t xml:space="preserve">s or </w:t>
      </w:r>
      <w:r w:rsidR="002135D4">
        <w:t>receive</w:t>
      </w:r>
      <w:r>
        <w:t xml:space="preserve">s within </w:t>
      </w:r>
      <w:proofErr w:type="spellStart"/>
      <w:r>
        <w:t>Pcell</w:t>
      </w:r>
      <w:proofErr w:type="spellEnd"/>
      <w:r>
        <w:t xml:space="preserve"> transmission bandwidth. From BS point of view, this is a multicarrier operation. BS transmits or receiver in any transmission bandwidth</w:t>
      </w:r>
      <w:r w:rsidR="00735D7B">
        <w:t xml:space="preserve"> within an aggregated transmission bandwidth configurations in </w:t>
      </w:r>
      <w:r>
        <w:t xml:space="preserve">in the base station RF bandwidth. </w:t>
      </w:r>
      <w:r w:rsidR="00340BBC">
        <w:t>C</w:t>
      </w:r>
      <w:r>
        <w:t>hannel bandwidth is a RF bandwidth of the single component carrier, which could overlap each other if channel spacing is smaller than the channel bandwidth</w:t>
      </w:r>
      <w:r w:rsidR="00735D7B">
        <w:t xml:space="preserve"> like in case of the nominal channel spacing for CA</w:t>
      </w:r>
      <w:r>
        <w:t>.</w:t>
      </w:r>
    </w:p>
    <w:p w:rsidR="00050CA7" w:rsidRDefault="00050CA7" w:rsidP="00050CA7"/>
    <w:p w:rsidR="00FC201D" w:rsidRDefault="002970F2" w:rsidP="009F494C">
      <w:pPr>
        <w:rPr>
          <w:lang w:val="en-GB" w:eastAsia="en-US"/>
        </w:rPr>
      </w:pPr>
      <w:r>
        <w:rPr>
          <w:lang w:val="en-GB" w:eastAsia="en-US"/>
        </w:rPr>
        <w:t>According to the LS from RAN1 [1], some UE can operate with a wideband CC but other UE operates with contiguous CCs</w:t>
      </w:r>
      <w:r w:rsidR="00745635">
        <w:rPr>
          <w:lang w:val="en-GB" w:eastAsia="en-US"/>
        </w:rPr>
        <w:t xml:space="preserve"> in the NR</w:t>
      </w:r>
      <w:r>
        <w:rPr>
          <w:lang w:val="en-GB" w:eastAsia="en-US"/>
        </w:rPr>
        <w:t>.</w:t>
      </w:r>
      <w:r w:rsidR="00AE6D7E">
        <w:rPr>
          <w:lang w:val="en-GB" w:eastAsia="en-US"/>
        </w:rPr>
        <w:t xml:space="preserve"> This can be illustrated in Figure 2.</w:t>
      </w:r>
    </w:p>
    <w:p w:rsidR="002970F2" w:rsidRDefault="00A80FED" w:rsidP="00475755">
      <w:pPr>
        <w:pStyle w:val="Doc-text2"/>
        <w:ind w:left="0" w:firstLine="0"/>
        <w:jc w:val="center"/>
      </w:pPr>
      <w:r>
        <w:object w:dxaOrig="10874" w:dyaOrig="1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9.5pt" o:ole="">
            <v:imagedata r:id="rId13" o:title=""/>
          </v:shape>
          <o:OLEObject Type="Embed" ProgID="Visio.Drawing.11" ShapeID="_x0000_i1025" DrawAspect="Content" ObjectID="_1555600320" r:id="rId14"/>
        </w:object>
      </w:r>
    </w:p>
    <w:p w:rsidR="009A280F" w:rsidRDefault="009A280F" w:rsidP="009A280F">
      <w:pPr>
        <w:pStyle w:val="Caption"/>
        <w:jc w:val="center"/>
      </w:pPr>
      <w:r>
        <w:t>Figure 2: NR wideband operation with wideband CC and contiguous CCs</w:t>
      </w:r>
    </w:p>
    <w:p w:rsidR="009A280F" w:rsidRDefault="009A280F" w:rsidP="00FD060A">
      <w:pPr>
        <w:pStyle w:val="Doc-text2"/>
        <w:ind w:left="0" w:firstLine="0"/>
      </w:pPr>
    </w:p>
    <w:p w:rsidR="002970F2" w:rsidRDefault="002970F2" w:rsidP="009F494C">
      <w:r>
        <w:t xml:space="preserve">There </w:t>
      </w:r>
      <w:r w:rsidR="00D96449">
        <w:t>has been discussion</w:t>
      </w:r>
      <w:r>
        <w:t xml:space="preserve"> on channel bandwidth, maximum channel bandwidth, and UE maximum bandwidth</w:t>
      </w:r>
      <w:r w:rsidR="00D96449">
        <w:t xml:space="preserve"> in RAN4#82bis</w:t>
      </w:r>
      <w:r>
        <w:t>. In the end</w:t>
      </w:r>
      <w:r w:rsidR="00D96449">
        <w:t>,</w:t>
      </w:r>
      <w:r>
        <w:t xml:space="preserve"> the maximum channel bandwidth was agreed as working assumption [2] in the following.</w:t>
      </w:r>
    </w:p>
    <w:p w:rsidR="002970F2" w:rsidRPr="009F494C" w:rsidRDefault="002970F2" w:rsidP="009F494C">
      <w:pPr>
        <w:ind w:left="1136"/>
        <w:rPr>
          <w:i/>
        </w:rPr>
      </w:pPr>
      <w:r w:rsidRPr="009F494C">
        <w:rPr>
          <w:i/>
        </w:rPr>
        <w:t>For bands below 6GHz</w:t>
      </w:r>
    </w:p>
    <w:p w:rsidR="002970F2" w:rsidRPr="009F494C" w:rsidRDefault="002970F2" w:rsidP="009F494C">
      <w:pPr>
        <w:ind w:left="1420"/>
        <w:rPr>
          <w:i/>
        </w:rPr>
      </w:pPr>
      <w:r w:rsidRPr="009F494C">
        <w:rPr>
          <w:i/>
        </w:rPr>
        <w:t>100MHz maximum CBW</w:t>
      </w:r>
    </w:p>
    <w:p w:rsidR="002970F2" w:rsidRPr="009F494C" w:rsidRDefault="002970F2" w:rsidP="009F494C">
      <w:pPr>
        <w:ind w:left="1136"/>
        <w:rPr>
          <w:i/>
        </w:rPr>
      </w:pPr>
      <w:r w:rsidRPr="009F494C">
        <w:rPr>
          <w:i/>
        </w:rPr>
        <w:t>or bands above 24GHz</w:t>
      </w:r>
    </w:p>
    <w:p w:rsidR="002970F2" w:rsidRPr="009F494C" w:rsidRDefault="002970F2" w:rsidP="009F494C">
      <w:pPr>
        <w:ind w:left="1420"/>
        <w:rPr>
          <w:i/>
        </w:rPr>
      </w:pPr>
      <w:r w:rsidRPr="009F494C">
        <w:rPr>
          <w:i/>
        </w:rPr>
        <w:t>400MHz maximum CBW</w:t>
      </w:r>
    </w:p>
    <w:p w:rsidR="002970F2" w:rsidRDefault="009F494C" w:rsidP="009F494C">
      <w:r>
        <w:lastRenderedPageBreak/>
        <w:t>The terminology of channel bandwidth and UE maximum bandwidth were agreed in [3]</w:t>
      </w:r>
      <w:r w:rsidR="009A280F">
        <w:t>. However, the relationship o</w:t>
      </w:r>
      <w:r w:rsidR="000D153C">
        <w:t xml:space="preserve">f </w:t>
      </w:r>
      <w:r w:rsidR="00B542EC">
        <w:t>CC, Wideband CC</w:t>
      </w:r>
      <w:r w:rsidR="000D153C">
        <w:t xml:space="preserve">, channel bandwidth, </w:t>
      </w:r>
      <w:r w:rsidR="00A80FED">
        <w:t xml:space="preserve">and </w:t>
      </w:r>
      <w:r w:rsidR="009A280F">
        <w:t>carrier aggregation, etc</w:t>
      </w:r>
      <w:r w:rsidR="000D153C">
        <w:t>.</w:t>
      </w:r>
      <w:r w:rsidR="000C5296">
        <w:t xml:space="preserve"> </w:t>
      </w:r>
      <w:r w:rsidR="009A280F">
        <w:t>still need more clarification</w:t>
      </w:r>
      <w:r w:rsidR="007116C6">
        <w:t>s</w:t>
      </w:r>
      <w:r w:rsidR="009A280F">
        <w:t xml:space="preserve"> as the draft WF [4] was not </w:t>
      </w:r>
      <w:r w:rsidR="00104784">
        <w:t>finalized</w:t>
      </w:r>
      <w:r w:rsidR="009A280F">
        <w:t xml:space="preserve"> in the last meeting.</w:t>
      </w:r>
    </w:p>
    <w:p w:rsidR="00EF093E" w:rsidRDefault="00EF093E" w:rsidP="009F494C">
      <w:r>
        <w:t>In principle, the concept of Figure 1</w:t>
      </w:r>
      <w:r w:rsidR="00EF0E17">
        <w:t xml:space="preserve"> is still applicable in the NR, although some details such as DC carrier treatment needs to be </w:t>
      </w:r>
      <w:r w:rsidR="002135D4">
        <w:t>changed</w:t>
      </w:r>
      <w:r w:rsidR="00EF0E17">
        <w:t xml:space="preserve">. What makes the difference in the NR is that the aggregated channel bandwidth can be also used as a single carrier (i.e., wideband CC) by some of the UEs simultaneously while other UEs are </w:t>
      </w:r>
      <w:r w:rsidR="00897F26">
        <w:t>in carrier aggregation.</w:t>
      </w:r>
      <w:r w:rsidR="00EF0E17">
        <w:t xml:space="preserve"> </w:t>
      </w:r>
      <w:r w:rsidR="005E238F">
        <w:t>Thus,</w:t>
      </w:r>
      <w:r w:rsidR="00EF0E17">
        <w:t xml:space="preserve"> </w:t>
      </w:r>
      <w:r w:rsidR="005E238F">
        <w:t xml:space="preserve">Figure 1 appears as </w:t>
      </w:r>
      <w:r w:rsidR="00B16C5B">
        <w:t>a single carrier in Figure 2 for some UEs</w:t>
      </w:r>
      <w:r w:rsidR="00897F26">
        <w:t xml:space="preserve"> within the same bandwidth</w:t>
      </w:r>
      <w:r w:rsidR="00B16C5B">
        <w:t>.</w:t>
      </w:r>
    </w:p>
    <w:p w:rsidR="00EF0E17" w:rsidRDefault="00EF0E17" w:rsidP="009F494C">
      <w:r>
        <w:rPr>
          <w:noProof/>
        </w:rPr>
        <w:drawing>
          <wp:inline distT="0" distB="0" distL="0" distR="0">
            <wp:extent cx="5943600" cy="3124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124200"/>
                    </a:xfrm>
                    <a:prstGeom prst="rect">
                      <a:avLst/>
                    </a:prstGeom>
                    <a:noFill/>
                    <a:ln>
                      <a:noFill/>
                    </a:ln>
                  </pic:spPr>
                </pic:pic>
              </a:graphicData>
            </a:graphic>
          </wp:inline>
        </w:drawing>
      </w:r>
    </w:p>
    <w:p w:rsidR="005E238F" w:rsidRDefault="005E238F" w:rsidP="005E238F">
      <w:pPr>
        <w:pStyle w:val="Caption"/>
        <w:jc w:val="center"/>
      </w:pPr>
      <w:r>
        <w:t>Figure 2: LTE single carrier operation</w:t>
      </w:r>
    </w:p>
    <w:p w:rsidR="00EF093E" w:rsidRPr="005E238F" w:rsidRDefault="00EF093E" w:rsidP="009F494C">
      <w:pPr>
        <w:rPr>
          <w:lang w:val="x-none"/>
        </w:rPr>
      </w:pPr>
    </w:p>
    <w:p w:rsidR="005E238F" w:rsidRPr="00F9339D" w:rsidRDefault="005E238F" w:rsidP="005E238F">
      <w:pPr>
        <w:rPr>
          <w:b/>
          <w:i/>
        </w:rPr>
      </w:pPr>
      <w:r w:rsidRPr="00F9339D">
        <w:rPr>
          <w:b/>
          <w:i/>
        </w:rPr>
        <w:t xml:space="preserve">Observation 1: The aggregation of multiple </w:t>
      </w:r>
      <w:r>
        <w:rPr>
          <w:b/>
          <w:i/>
        </w:rPr>
        <w:t>transmission bandwidth</w:t>
      </w:r>
      <w:r w:rsidR="00EA1ED4">
        <w:rPr>
          <w:b/>
          <w:i/>
        </w:rPr>
        <w:t xml:space="preserve"> configuration</w:t>
      </w:r>
      <w:r>
        <w:rPr>
          <w:b/>
          <w:i/>
        </w:rPr>
        <w:t xml:space="preserve">s </w:t>
      </w:r>
      <w:r w:rsidRPr="00F9339D">
        <w:rPr>
          <w:b/>
          <w:i/>
        </w:rPr>
        <w:t>sh</w:t>
      </w:r>
      <w:r>
        <w:rPr>
          <w:b/>
          <w:i/>
        </w:rPr>
        <w:t>ould</w:t>
      </w:r>
      <w:r w:rsidRPr="00F9339D">
        <w:rPr>
          <w:b/>
          <w:i/>
        </w:rPr>
        <w:t xml:space="preserve"> be supported in the same way as LTE</w:t>
      </w:r>
      <w:r>
        <w:rPr>
          <w:b/>
          <w:i/>
        </w:rPr>
        <w:t xml:space="preserve"> for the NR</w:t>
      </w:r>
      <w:r w:rsidRPr="00F9339D">
        <w:rPr>
          <w:b/>
          <w:i/>
        </w:rPr>
        <w:t>.</w:t>
      </w:r>
    </w:p>
    <w:p w:rsidR="005E238F" w:rsidRPr="00F9339D" w:rsidRDefault="005E238F" w:rsidP="005E238F">
      <w:pPr>
        <w:rPr>
          <w:b/>
          <w:i/>
        </w:rPr>
      </w:pPr>
      <w:r w:rsidRPr="00F9339D">
        <w:rPr>
          <w:b/>
          <w:i/>
        </w:rPr>
        <w:t xml:space="preserve">Observation </w:t>
      </w:r>
      <w:r>
        <w:rPr>
          <w:b/>
          <w:i/>
        </w:rPr>
        <w:t>2</w:t>
      </w:r>
      <w:r w:rsidRPr="00F9339D">
        <w:rPr>
          <w:b/>
          <w:i/>
        </w:rPr>
        <w:t>: The aggrega</w:t>
      </w:r>
      <w:r>
        <w:rPr>
          <w:b/>
          <w:i/>
        </w:rPr>
        <w:t xml:space="preserve">ted channel bandwidth </w:t>
      </w:r>
      <w:r w:rsidR="00B16C5B">
        <w:rPr>
          <w:b/>
          <w:i/>
        </w:rPr>
        <w:t xml:space="preserve">(for some UEs) </w:t>
      </w:r>
      <w:r>
        <w:rPr>
          <w:b/>
          <w:i/>
        </w:rPr>
        <w:t xml:space="preserve">can be used </w:t>
      </w:r>
      <w:r w:rsidR="00B16C5B">
        <w:rPr>
          <w:b/>
          <w:i/>
        </w:rPr>
        <w:t>as</w:t>
      </w:r>
      <w:r w:rsidR="00211D53">
        <w:rPr>
          <w:b/>
          <w:i/>
        </w:rPr>
        <w:t xml:space="preserve"> </w:t>
      </w:r>
      <w:r w:rsidR="00A62EE1">
        <w:rPr>
          <w:b/>
          <w:i/>
        </w:rPr>
        <w:t xml:space="preserve">a single </w:t>
      </w:r>
      <w:r w:rsidR="00211D53">
        <w:rPr>
          <w:b/>
          <w:i/>
        </w:rPr>
        <w:t xml:space="preserve">wider </w:t>
      </w:r>
      <w:r w:rsidR="00A62EE1">
        <w:rPr>
          <w:b/>
          <w:i/>
        </w:rPr>
        <w:t>channel bandwidth</w:t>
      </w:r>
      <w:r w:rsidR="00B16C5B">
        <w:rPr>
          <w:b/>
          <w:i/>
        </w:rPr>
        <w:t xml:space="preserve"> (for other UEs)</w:t>
      </w:r>
      <w:r w:rsidR="00211D53">
        <w:rPr>
          <w:b/>
          <w:i/>
        </w:rPr>
        <w:t>.</w:t>
      </w:r>
    </w:p>
    <w:p w:rsidR="005E238F" w:rsidRDefault="00135E52" w:rsidP="009F494C">
      <w:r>
        <w:t xml:space="preserve">Figure 3 summarize the possible </w:t>
      </w:r>
      <w:r w:rsidR="007A3B38">
        <w:t xml:space="preserve">wideband </w:t>
      </w:r>
      <w:r>
        <w:t>operation scenarios in the NR.</w:t>
      </w:r>
      <w:r w:rsidR="00897F26">
        <w:t xml:space="preserve"> The left figure is not different from LTE, while the right figure is new in the NR.</w:t>
      </w:r>
    </w:p>
    <w:p w:rsidR="00135E52" w:rsidRDefault="00FB76D2" w:rsidP="009F494C">
      <w:r>
        <w:object w:dxaOrig="24205" w:dyaOrig="4765">
          <v:shape id="_x0000_i1026" type="#_x0000_t75" style="width:483pt;height:93.75pt" o:ole="">
            <v:imagedata r:id="rId16" o:title=""/>
          </v:shape>
          <o:OLEObject Type="Embed" ProgID="Visio.Drawing.11" ShapeID="_x0000_i1026" DrawAspect="Content" ObjectID="_1555600321" r:id="rId17"/>
        </w:object>
      </w:r>
    </w:p>
    <w:p w:rsidR="00135E52" w:rsidRDefault="00135E52" w:rsidP="00135E52">
      <w:pPr>
        <w:pStyle w:val="Caption"/>
        <w:jc w:val="center"/>
      </w:pPr>
      <w:r>
        <w:t>Figure 3: NR wideband operation scenarios (single carrier and multi carriers)</w:t>
      </w:r>
    </w:p>
    <w:p w:rsidR="00031D0B" w:rsidRDefault="00031D0B" w:rsidP="00031D0B">
      <w:pPr>
        <w:pStyle w:val="Heading3"/>
      </w:pPr>
    </w:p>
    <w:p w:rsidR="00031D0B" w:rsidRPr="007116C6" w:rsidRDefault="00031D0B" w:rsidP="00031D0B">
      <w:pPr>
        <w:pStyle w:val="Heading3"/>
      </w:pPr>
      <w:r>
        <w:t>2.2 Channel spacing and guard band</w:t>
      </w:r>
    </w:p>
    <w:p w:rsidR="00135E52" w:rsidRDefault="00031D0B" w:rsidP="009F494C">
      <w:pPr>
        <w:rPr>
          <w:lang w:val="en-GB"/>
        </w:rPr>
      </w:pPr>
      <w:r>
        <w:rPr>
          <w:lang w:val="en-GB"/>
        </w:rPr>
        <w:t>According to RAN1 LS</w:t>
      </w:r>
      <w:r w:rsidR="00D061D2">
        <w:rPr>
          <w:lang w:val="en-GB"/>
        </w:rPr>
        <w:t xml:space="preserve"> [1]</w:t>
      </w:r>
      <w:r>
        <w:rPr>
          <w:lang w:val="en-GB"/>
        </w:rPr>
        <w:t>, it is beneficial to support zero guard band among CCs. In LTE carrier aggregation, the guard band (or unused subcarriers) are</w:t>
      </w:r>
      <w:r w:rsidR="00C3190D">
        <w:rPr>
          <w:lang w:val="en-GB"/>
        </w:rPr>
        <w:t xml:space="preserve"> always</w:t>
      </w:r>
      <w:r>
        <w:rPr>
          <w:lang w:val="en-GB"/>
        </w:rPr>
        <w:t xml:space="preserve"> present among CCs for the nominal channel spacing.</w:t>
      </w:r>
      <w:r w:rsidR="00C3190D">
        <w:rPr>
          <w:lang w:val="en-GB"/>
        </w:rPr>
        <w:t xml:space="preserve"> </w:t>
      </w:r>
      <w:r w:rsidR="007A3B38">
        <w:rPr>
          <w:lang w:val="en-GB"/>
        </w:rPr>
        <w:t>Indeed, t</w:t>
      </w:r>
      <w:r w:rsidR="00C3190D">
        <w:rPr>
          <w:lang w:val="en-GB"/>
        </w:rPr>
        <w:t xml:space="preserve">he use of </w:t>
      </w:r>
      <w:r w:rsidR="00760B0F">
        <w:rPr>
          <w:lang w:val="en-GB"/>
        </w:rPr>
        <w:t xml:space="preserve">minimum channel spacing is not precluded in LTE, which can achieve the zero guard-band for some combinations of channel bandwidths, but not all the </w:t>
      </w:r>
      <w:r w:rsidR="006A57F7">
        <w:rPr>
          <w:lang w:val="en-GB"/>
        </w:rPr>
        <w:t xml:space="preserve">bandwidth </w:t>
      </w:r>
      <w:r w:rsidR="00760B0F">
        <w:rPr>
          <w:lang w:val="en-GB"/>
        </w:rPr>
        <w:t>combinations can support zero guard-band.</w:t>
      </w:r>
    </w:p>
    <w:p w:rsidR="00031D0B" w:rsidRDefault="00FB76D2" w:rsidP="009F494C">
      <w:pPr>
        <w:rPr>
          <w:lang w:val="en-GB"/>
        </w:rPr>
      </w:pPr>
      <w:r>
        <w:object w:dxaOrig="8905" w:dyaOrig="2445">
          <v:shape id="_x0000_i1027" type="#_x0000_t75" style="width:445.5pt;height:122.25pt" o:ole="">
            <v:imagedata r:id="rId18" o:title=""/>
          </v:shape>
          <o:OLEObject Type="Embed" ProgID="Visio.Drawing.11" ShapeID="_x0000_i1027" DrawAspect="Content" ObjectID="_1555600322" r:id="rId19"/>
        </w:object>
      </w:r>
    </w:p>
    <w:p w:rsidR="00031D0B" w:rsidRDefault="00031D0B" w:rsidP="00031D0B">
      <w:pPr>
        <w:pStyle w:val="Caption"/>
        <w:jc w:val="center"/>
      </w:pPr>
      <w:r>
        <w:t xml:space="preserve">Figure 4: </w:t>
      </w:r>
      <w:r w:rsidR="00213742">
        <w:t>Guard band among CCs</w:t>
      </w:r>
    </w:p>
    <w:p w:rsidR="002B2D10" w:rsidRDefault="00213742" w:rsidP="009F494C">
      <w:pPr>
        <w:rPr>
          <w:lang w:val="en-GB"/>
        </w:rPr>
      </w:pPr>
      <w:r>
        <w:rPr>
          <w:lang w:val="en-GB"/>
        </w:rPr>
        <w:t xml:space="preserve">In </w:t>
      </w:r>
      <w:r w:rsidR="002B2D10">
        <w:rPr>
          <w:lang w:val="en-GB"/>
        </w:rPr>
        <w:t>order to achieve the zero guard-</w:t>
      </w:r>
      <w:r>
        <w:rPr>
          <w:lang w:val="en-GB"/>
        </w:rPr>
        <w:t>band within a wide band CC</w:t>
      </w:r>
      <w:r w:rsidR="006A57F7">
        <w:rPr>
          <w:lang w:val="en-GB"/>
        </w:rPr>
        <w:t xml:space="preserve"> in the NR</w:t>
      </w:r>
      <w:r>
        <w:rPr>
          <w:lang w:val="en-GB"/>
        </w:rPr>
        <w:t xml:space="preserve">, </w:t>
      </w:r>
      <w:r w:rsidR="002B2D10">
        <w:rPr>
          <w:lang w:val="en-GB"/>
        </w:rPr>
        <w:t xml:space="preserve">the </w:t>
      </w:r>
      <w:r>
        <w:rPr>
          <w:lang w:val="en-GB"/>
        </w:rPr>
        <w:t xml:space="preserve">spacing </w:t>
      </w:r>
      <w:r w:rsidR="002B2D10">
        <w:rPr>
          <w:lang w:val="en-GB"/>
        </w:rPr>
        <w:t xml:space="preserve">among CCs </w:t>
      </w:r>
      <w:r>
        <w:rPr>
          <w:lang w:val="en-GB"/>
        </w:rPr>
        <w:t xml:space="preserve">shall be </w:t>
      </w:r>
      <w:r w:rsidR="006A57F7">
        <w:rPr>
          <w:lang w:val="en-GB"/>
        </w:rPr>
        <w:t>aligned</w:t>
      </w:r>
      <w:r w:rsidR="002B2D10">
        <w:rPr>
          <w:lang w:val="en-GB"/>
        </w:rPr>
        <w:t xml:space="preserve"> so that </w:t>
      </w:r>
      <w:r w:rsidR="007A3B38">
        <w:rPr>
          <w:lang w:val="en-GB"/>
        </w:rPr>
        <w:t>each</w:t>
      </w:r>
      <w:r w:rsidR="002B2D10">
        <w:rPr>
          <w:lang w:val="en-GB"/>
        </w:rPr>
        <w:t xml:space="preserve"> transmission bandwidth</w:t>
      </w:r>
      <w:r w:rsidR="007A3B38">
        <w:rPr>
          <w:lang w:val="en-GB"/>
        </w:rPr>
        <w:t xml:space="preserve"> per CC</w:t>
      </w:r>
      <w:r w:rsidR="002B2D10">
        <w:rPr>
          <w:lang w:val="en-GB"/>
        </w:rPr>
        <w:t xml:space="preserve"> </w:t>
      </w:r>
      <w:r w:rsidR="007A3B38">
        <w:rPr>
          <w:lang w:val="en-GB"/>
        </w:rPr>
        <w:t xml:space="preserve">is </w:t>
      </w:r>
      <w:r w:rsidR="006A57F7">
        <w:rPr>
          <w:lang w:val="en-GB"/>
        </w:rPr>
        <w:t>placed</w:t>
      </w:r>
      <w:r w:rsidR="002B2D10">
        <w:rPr>
          <w:lang w:val="en-GB"/>
        </w:rPr>
        <w:t xml:space="preserve"> next to each other as shown in Figure 5. </w:t>
      </w:r>
    </w:p>
    <w:p w:rsidR="002B2D10" w:rsidRDefault="00FB76D2" w:rsidP="009F494C">
      <w:pPr>
        <w:rPr>
          <w:lang w:val="en-GB"/>
        </w:rPr>
      </w:pPr>
      <w:r>
        <w:object w:dxaOrig="7655" w:dyaOrig="4259">
          <v:shape id="_x0000_i1028" type="#_x0000_t75" style="width:381.75pt;height:3in" o:ole="">
            <v:imagedata r:id="rId20" o:title=""/>
          </v:shape>
          <o:OLEObject Type="Embed" ProgID="Visio.Drawing.11" ShapeID="_x0000_i1028" DrawAspect="Content" ObjectID="_1555600323" r:id="rId21"/>
        </w:object>
      </w:r>
    </w:p>
    <w:p w:rsidR="002B2D10" w:rsidRDefault="002B2D10" w:rsidP="002B2D10">
      <w:pPr>
        <w:pStyle w:val="Caption"/>
        <w:jc w:val="center"/>
      </w:pPr>
      <w:r>
        <w:t>Figure 5: Zero guard band among CCs</w:t>
      </w:r>
    </w:p>
    <w:p w:rsidR="002B2D10" w:rsidRDefault="00B02CA8" w:rsidP="009F494C">
      <w:pPr>
        <w:rPr>
          <w:lang w:val="en-GB"/>
        </w:rPr>
      </w:pPr>
      <w:r>
        <w:rPr>
          <w:lang w:val="en-GB"/>
        </w:rPr>
        <w:t>T</w:t>
      </w:r>
      <w:r w:rsidR="002B2D10">
        <w:rPr>
          <w:lang w:val="en-GB"/>
        </w:rPr>
        <w:t>he transmission bandwidth is smaller than the channel bandwidth</w:t>
      </w:r>
      <w:r w:rsidR="006A57F7">
        <w:rPr>
          <w:lang w:val="en-GB"/>
        </w:rPr>
        <w:t xml:space="preserve">, </w:t>
      </w:r>
      <w:r>
        <w:rPr>
          <w:lang w:val="en-GB"/>
        </w:rPr>
        <w:t xml:space="preserve">thus </w:t>
      </w:r>
      <w:r w:rsidR="00A66007">
        <w:rPr>
          <w:lang w:val="en-GB"/>
        </w:rPr>
        <w:t>t</w:t>
      </w:r>
      <w:r w:rsidR="002B2D10">
        <w:rPr>
          <w:lang w:val="en-GB"/>
        </w:rPr>
        <w:t xml:space="preserve">he channel spacing shall be smaller than the channel bandwidth. </w:t>
      </w:r>
      <w:r w:rsidR="0080306E">
        <w:rPr>
          <w:lang w:val="en-GB"/>
        </w:rPr>
        <w:t>T</w:t>
      </w:r>
      <w:r w:rsidR="002B2D10">
        <w:rPr>
          <w:lang w:val="en-GB"/>
        </w:rPr>
        <w:t xml:space="preserve">he CC spacing shall be at least a multiple of </w:t>
      </w:r>
      <w:r w:rsidR="00760B0F">
        <w:rPr>
          <w:lang w:val="en-GB"/>
        </w:rPr>
        <w:t>RB</w:t>
      </w:r>
      <w:r w:rsidR="002B2D10">
        <w:rPr>
          <w:lang w:val="en-GB"/>
        </w:rPr>
        <w:t xml:space="preserve"> size to avoid the </w:t>
      </w:r>
      <w:r w:rsidR="003557C9">
        <w:rPr>
          <w:lang w:val="en-GB"/>
        </w:rPr>
        <w:t>misalignment. It</w:t>
      </w:r>
      <w:r w:rsidR="00C3190D">
        <w:rPr>
          <w:lang w:val="en-GB"/>
        </w:rPr>
        <w:t xml:space="preserve"> is not always possible to align each CC’s </w:t>
      </w:r>
      <w:proofErr w:type="spellStart"/>
      <w:r w:rsidR="00C3190D">
        <w:rPr>
          <w:lang w:val="en-GB"/>
        </w:rPr>
        <w:t>center</w:t>
      </w:r>
      <w:proofErr w:type="spellEnd"/>
      <w:r w:rsidR="00C3190D">
        <w:rPr>
          <w:lang w:val="en-GB"/>
        </w:rPr>
        <w:t xml:space="preserve"> frequency with </w:t>
      </w:r>
      <w:r w:rsidR="006A57F7">
        <w:rPr>
          <w:lang w:val="en-GB"/>
        </w:rPr>
        <w:t>100kHz</w:t>
      </w:r>
      <w:r w:rsidR="00C3190D">
        <w:rPr>
          <w:lang w:val="en-GB"/>
        </w:rPr>
        <w:t xml:space="preserve"> channel raster</w:t>
      </w:r>
      <w:r w:rsidR="00BD7D00">
        <w:rPr>
          <w:lang w:val="en-GB"/>
        </w:rPr>
        <w:t xml:space="preserve">. This is already </w:t>
      </w:r>
      <w:r w:rsidR="006A57F7">
        <w:rPr>
          <w:lang w:val="en-GB"/>
        </w:rPr>
        <w:t xml:space="preserve">the case in LTE. </w:t>
      </w:r>
      <w:r w:rsidR="00BD7D00">
        <w:rPr>
          <w:lang w:val="en-GB"/>
        </w:rPr>
        <w:t>On the other hand, f</w:t>
      </w:r>
      <w:r w:rsidR="00760B0F">
        <w:rPr>
          <w:lang w:val="en-GB"/>
        </w:rPr>
        <w:t>or 180kHz raster, this is not the issue,</w:t>
      </w:r>
      <w:r w:rsidR="006A57F7">
        <w:rPr>
          <w:lang w:val="en-GB"/>
        </w:rPr>
        <w:t xml:space="preserve"> as we discussed in our compan</w:t>
      </w:r>
      <w:r w:rsidR="00BD7D00">
        <w:rPr>
          <w:lang w:val="en-GB"/>
        </w:rPr>
        <w:t xml:space="preserve">ion paper on </w:t>
      </w:r>
      <w:r w:rsidR="00B16C5B">
        <w:rPr>
          <w:lang w:val="en-GB"/>
        </w:rPr>
        <w:t>channel</w:t>
      </w:r>
      <w:r w:rsidR="00BD7D00">
        <w:rPr>
          <w:lang w:val="en-GB"/>
        </w:rPr>
        <w:t xml:space="preserve"> raster</w:t>
      </w:r>
      <w:r w:rsidR="00E24C46">
        <w:rPr>
          <w:lang w:val="en-GB"/>
        </w:rPr>
        <w:t xml:space="preserve"> [</w:t>
      </w:r>
      <w:r w:rsidR="00FA5960">
        <w:rPr>
          <w:lang w:val="en-GB"/>
        </w:rPr>
        <w:t>5</w:t>
      </w:r>
      <w:r w:rsidR="00E24C46">
        <w:rPr>
          <w:lang w:val="en-GB"/>
        </w:rPr>
        <w:t>].</w:t>
      </w:r>
    </w:p>
    <w:p w:rsidR="00C3190D" w:rsidRPr="00F9339D" w:rsidRDefault="00C3190D" w:rsidP="00C3190D">
      <w:pPr>
        <w:rPr>
          <w:b/>
          <w:i/>
        </w:rPr>
      </w:pPr>
      <w:r w:rsidRPr="00F9339D">
        <w:rPr>
          <w:b/>
          <w:i/>
        </w:rPr>
        <w:t xml:space="preserve">Observation </w:t>
      </w:r>
      <w:r>
        <w:rPr>
          <w:b/>
          <w:i/>
        </w:rPr>
        <w:t>3</w:t>
      </w:r>
      <w:r w:rsidRPr="00F9339D">
        <w:rPr>
          <w:b/>
          <w:i/>
        </w:rPr>
        <w:t xml:space="preserve">: </w:t>
      </w:r>
      <w:r w:rsidR="00760B0F">
        <w:rPr>
          <w:b/>
          <w:i/>
        </w:rPr>
        <w:t xml:space="preserve">For 100kHz </w:t>
      </w:r>
      <w:r w:rsidR="007A3B38">
        <w:rPr>
          <w:b/>
          <w:i/>
        </w:rPr>
        <w:t xml:space="preserve">channel </w:t>
      </w:r>
      <w:r w:rsidR="00760B0F">
        <w:rPr>
          <w:b/>
          <w:i/>
        </w:rPr>
        <w:t>raster, it is not always possible to achieve zero guard-band</w:t>
      </w:r>
      <w:r w:rsidR="008E42AE">
        <w:rPr>
          <w:b/>
          <w:i/>
        </w:rPr>
        <w:t xml:space="preserve"> when aggregating multiple </w:t>
      </w:r>
      <w:r w:rsidR="00972697">
        <w:rPr>
          <w:b/>
          <w:i/>
        </w:rPr>
        <w:t>carriers</w:t>
      </w:r>
      <w:r w:rsidR="00760B0F">
        <w:rPr>
          <w:b/>
          <w:i/>
        </w:rPr>
        <w:t>. For 180kHz raster zero guard-band is always achievable.</w:t>
      </w:r>
      <w:r>
        <w:rPr>
          <w:b/>
          <w:i/>
        </w:rPr>
        <w:t xml:space="preserve"> </w:t>
      </w:r>
    </w:p>
    <w:p w:rsidR="00E24C46" w:rsidRDefault="00E24C46" w:rsidP="00E24C46">
      <w:pPr>
        <w:pStyle w:val="Heading3"/>
      </w:pPr>
    </w:p>
    <w:p w:rsidR="00E24C46" w:rsidRPr="007116C6" w:rsidRDefault="00E24C46" w:rsidP="00E24C46">
      <w:pPr>
        <w:pStyle w:val="Heading3"/>
      </w:pPr>
      <w:r>
        <w:t>2.</w:t>
      </w:r>
      <w:r w:rsidR="006A57F7">
        <w:t>3</w:t>
      </w:r>
      <w:r>
        <w:t xml:space="preserve"> </w:t>
      </w:r>
      <w:r w:rsidR="006A57F7">
        <w:t>Terminologies for the NR</w:t>
      </w:r>
    </w:p>
    <w:p w:rsidR="008E42AE" w:rsidRDefault="008E42AE" w:rsidP="008E42AE">
      <w:pPr>
        <w:rPr>
          <w:lang w:val="en-GB"/>
        </w:rPr>
      </w:pPr>
      <w:r>
        <w:rPr>
          <w:lang w:val="en-GB"/>
        </w:rPr>
        <w:t xml:space="preserve">As discussed in 2.1, the principle of wideband operation is not much different from LTE. </w:t>
      </w:r>
      <w:r w:rsidR="00FB76D2">
        <w:rPr>
          <w:lang w:val="en-GB"/>
        </w:rPr>
        <w:t xml:space="preserve">In LTE, </w:t>
      </w:r>
      <w:r w:rsidR="007A3B38">
        <w:rPr>
          <w:lang w:val="en-GB"/>
        </w:rPr>
        <w:t xml:space="preserve">both </w:t>
      </w:r>
      <w:r w:rsidR="00FB76D2">
        <w:rPr>
          <w:lang w:val="en-GB"/>
        </w:rPr>
        <w:t xml:space="preserve">the channel bandwidth and transmission bandwidth </w:t>
      </w:r>
      <w:r w:rsidR="007A3B38">
        <w:rPr>
          <w:lang w:val="en-GB"/>
        </w:rPr>
        <w:t xml:space="preserve">configuration </w:t>
      </w:r>
      <w:r w:rsidR="00FB76D2">
        <w:rPr>
          <w:lang w:val="en-GB"/>
        </w:rPr>
        <w:t xml:space="preserve">in the single carrier operation </w:t>
      </w:r>
      <w:r w:rsidR="007A3B38">
        <w:rPr>
          <w:lang w:val="en-GB"/>
        </w:rPr>
        <w:t>are</w:t>
      </w:r>
      <w:r w:rsidR="00FB76D2">
        <w:rPr>
          <w:lang w:val="en-GB"/>
        </w:rPr>
        <w:t xml:space="preserve"> common between UE and BS. The aggregated channel bandwidth in the carrier aggregation</w:t>
      </w:r>
      <w:r w:rsidR="00EA1ED4">
        <w:rPr>
          <w:lang w:val="en-GB"/>
        </w:rPr>
        <w:t xml:space="preserve"> operation</w:t>
      </w:r>
      <w:r w:rsidR="00FB76D2">
        <w:rPr>
          <w:lang w:val="en-GB"/>
        </w:rPr>
        <w:t xml:space="preserve"> is common between UE and BS. This is not the case in the NR, i.e., </w:t>
      </w:r>
    </w:p>
    <w:p w:rsidR="008E42AE" w:rsidRDefault="008E42AE" w:rsidP="008E42AE">
      <w:pPr>
        <w:pStyle w:val="ListParagraph"/>
        <w:numPr>
          <w:ilvl w:val="0"/>
          <w:numId w:val="31"/>
        </w:numPr>
        <w:rPr>
          <w:lang w:val="en-GB"/>
        </w:rPr>
      </w:pPr>
      <w:r w:rsidRPr="008E42AE">
        <w:rPr>
          <w:lang w:val="en-GB"/>
        </w:rPr>
        <w:t xml:space="preserve">UE may use a narrower transmission bandwidth </w:t>
      </w:r>
      <w:r w:rsidR="007A3B38">
        <w:rPr>
          <w:lang w:val="en-GB"/>
        </w:rPr>
        <w:t xml:space="preserve">configuration </w:t>
      </w:r>
      <w:r w:rsidR="00FB76D2">
        <w:rPr>
          <w:lang w:val="en-GB"/>
        </w:rPr>
        <w:t>within</w:t>
      </w:r>
      <w:r w:rsidRPr="008E42AE">
        <w:rPr>
          <w:lang w:val="en-GB"/>
        </w:rPr>
        <w:t xml:space="preserve"> </w:t>
      </w:r>
      <w:r w:rsidR="00B16C5B">
        <w:rPr>
          <w:lang w:val="en-GB"/>
        </w:rPr>
        <w:t xml:space="preserve">a </w:t>
      </w:r>
      <w:r w:rsidRPr="008E42AE">
        <w:rPr>
          <w:lang w:val="en-GB"/>
        </w:rPr>
        <w:t xml:space="preserve">BS transmission </w:t>
      </w:r>
      <w:r>
        <w:rPr>
          <w:lang w:val="en-GB"/>
        </w:rPr>
        <w:t>bandwidth</w:t>
      </w:r>
      <w:r w:rsidR="007A3B38">
        <w:rPr>
          <w:lang w:val="en-GB"/>
        </w:rPr>
        <w:t xml:space="preserve"> configuration</w:t>
      </w:r>
    </w:p>
    <w:p w:rsidR="006A57F7" w:rsidRDefault="008E42AE" w:rsidP="008E42AE">
      <w:pPr>
        <w:pStyle w:val="ListParagraph"/>
        <w:numPr>
          <w:ilvl w:val="0"/>
          <w:numId w:val="31"/>
        </w:numPr>
        <w:rPr>
          <w:lang w:val="en-GB"/>
        </w:rPr>
      </w:pPr>
      <w:r>
        <w:rPr>
          <w:lang w:val="en-GB"/>
        </w:rPr>
        <w:t>UE may use an aggregat</w:t>
      </w:r>
      <w:r w:rsidR="007A3B38">
        <w:rPr>
          <w:lang w:val="en-GB"/>
        </w:rPr>
        <w:t>ion of</w:t>
      </w:r>
      <w:r>
        <w:rPr>
          <w:lang w:val="en-GB"/>
        </w:rPr>
        <w:t xml:space="preserve"> transmission bandwidth </w:t>
      </w:r>
      <w:r w:rsidR="007A3B38">
        <w:rPr>
          <w:lang w:val="en-GB"/>
        </w:rPr>
        <w:t xml:space="preserve">configurations </w:t>
      </w:r>
      <w:r>
        <w:rPr>
          <w:lang w:val="en-GB"/>
        </w:rPr>
        <w:t>within a BS transmission bandwidth</w:t>
      </w:r>
      <w:r w:rsidR="007A3B38">
        <w:rPr>
          <w:lang w:val="en-GB"/>
        </w:rPr>
        <w:t xml:space="preserve"> configuration</w:t>
      </w:r>
    </w:p>
    <w:p w:rsidR="008E42AE" w:rsidRPr="008E42AE" w:rsidRDefault="00FB76D2" w:rsidP="008E42AE">
      <w:pPr>
        <w:rPr>
          <w:lang w:val="en-GB"/>
        </w:rPr>
      </w:pPr>
      <w:r>
        <w:rPr>
          <w:lang w:val="en-GB"/>
        </w:rPr>
        <w:t xml:space="preserve">This aspect needs to be carefully implemented </w:t>
      </w:r>
      <w:r w:rsidR="00EA1ED4">
        <w:rPr>
          <w:lang w:val="en-GB"/>
        </w:rPr>
        <w:t>in</w:t>
      </w:r>
      <w:r>
        <w:rPr>
          <w:lang w:val="en-GB"/>
        </w:rPr>
        <w:t xml:space="preserve"> RAN4</w:t>
      </w:r>
      <w:r w:rsidR="00EA1ED4">
        <w:rPr>
          <w:lang w:val="en-GB"/>
        </w:rPr>
        <w:t xml:space="preserve"> specifications</w:t>
      </w:r>
      <w:r>
        <w:rPr>
          <w:lang w:val="en-GB"/>
        </w:rPr>
        <w:t xml:space="preserve">. </w:t>
      </w:r>
      <w:r w:rsidR="00A05E58">
        <w:rPr>
          <w:lang w:val="en-GB"/>
        </w:rPr>
        <w:t xml:space="preserve">For example, when we call a channel in UE spec, it may not be a channel from BS perspective but rather a band part (or sub channel), which may not contain </w:t>
      </w:r>
      <w:r w:rsidR="00B544E6">
        <w:rPr>
          <w:lang w:val="en-GB"/>
        </w:rPr>
        <w:t xml:space="preserve">PSS/SSS/PBCH within a bandwidth. </w:t>
      </w:r>
      <w:r w:rsidR="0091420E">
        <w:rPr>
          <w:lang w:val="en-GB"/>
        </w:rPr>
        <w:t>T</w:t>
      </w:r>
      <w:r w:rsidR="00B16C5B">
        <w:rPr>
          <w:lang w:val="en-GB"/>
        </w:rPr>
        <w:t xml:space="preserve">his shall be </w:t>
      </w:r>
      <w:r w:rsidR="00B544E6">
        <w:rPr>
          <w:lang w:val="en-GB"/>
        </w:rPr>
        <w:t xml:space="preserve">specified transparently in </w:t>
      </w:r>
      <w:r w:rsidR="00B16C5B">
        <w:rPr>
          <w:lang w:val="en-GB"/>
        </w:rPr>
        <w:t>RAN4</w:t>
      </w:r>
      <w:r w:rsidR="00B544E6">
        <w:rPr>
          <w:lang w:val="en-GB"/>
        </w:rPr>
        <w:t xml:space="preserve"> spe</w:t>
      </w:r>
      <w:r w:rsidR="00B16C5B">
        <w:rPr>
          <w:lang w:val="en-GB"/>
        </w:rPr>
        <w:t>cs. Other than this, m</w:t>
      </w:r>
      <w:r>
        <w:rPr>
          <w:lang w:val="en-GB"/>
        </w:rPr>
        <w:t xml:space="preserve">ost terminologies can be </w:t>
      </w:r>
      <w:r w:rsidR="007A3B38">
        <w:rPr>
          <w:lang w:val="en-GB"/>
        </w:rPr>
        <w:t>reused from the existing specs. Table 1 is the related definitions taken from UE and BS specifications.</w:t>
      </w:r>
    </w:p>
    <w:p w:rsidR="00FB76D2" w:rsidRDefault="007A3B38" w:rsidP="00FB76D2">
      <w:pPr>
        <w:pStyle w:val="Caption"/>
        <w:jc w:val="center"/>
      </w:pPr>
      <w:r>
        <w:t>Table</w:t>
      </w:r>
      <w:r w:rsidR="00FB76D2">
        <w:t xml:space="preserve"> </w:t>
      </w:r>
      <w:r>
        <w:t>1</w:t>
      </w:r>
      <w:r w:rsidR="00FB76D2">
        <w:t>: Spectrum related terminologies in 36.101 and 36.104.</w:t>
      </w:r>
    </w:p>
    <w:tbl>
      <w:tblPr>
        <w:tblStyle w:val="TableGrid"/>
        <w:tblW w:w="0" w:type="auto"/>
        <w:tblLook w:val="04A0" w:firstRow="1" w:lastRow="0" w:firstColumn="1" w:lastColumn="0" w:noHBand="0" w:noVBand="1"/>
      </w:tblPr>
      <w:tblGrid>
        <w:gridCol w:w="1705"/>
        <w:gridCol w:w="3960"/>
        <w:gridCol w:w="3960"/>
      </w:tblGrid>
      <w:tr w:rsidR="006A57F7" w:rsidTr="00AF482B">
        <w:tc>
          <w:tcPr>
            <w:tcW w:w="1705" w:type="dxa"/>
          </w:tcPr>
          <w:p w:rsidR="006A57F7" w:rsidRPr="00BE076E" w:rsidRDefault="006A57F7" w:rsidP="00AF482B">
            <w:pPr>
              <w:pStyle w:val="Doc-text2"/>
              <w:ind w:left="0" w:firstLine="0"/>
              <w:rPr>
                <w:rFonts w:eastAsia="SimSun" w:cs="Arial"/>
                <w:b/>
                <w:bCs/>
                <w:sz w:val="16"/>
                <w:szCs w:val="16"/>
              </w:rPr>
            </w:pP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36.101</w:t>
            </w:r>
          </w:p>
        </w:tc>
        <w:tc>
          <w:tcPr>
            <w:tcW w:w="3960" w:type="dxa"/>
          </w:tcPr>
          <w:p w:rsidR="006A57F7" w:rsidRPr="00BE076E" w:rsidRDefault="006A57F7" w:rsidP="00AF482B">
            <w:pPr>
              <w:rPr>
                <w:rFonts w:ascii="Arial" w:eastAsia="SimSun" w:hAnsi="Arial" w:cs="Arial"/>
                <w:sz w:val="16"/>
                <w:szCs w:val="16"/>
              </w:rPr>
            </w:pPr>
            <w:r w:rsidRPr="00BE076E">
              <w:rPr>
                <w:rFonts w:ascii="Arial" w:eastAsia="SimSun" w:hAnsi="Arial" w:cs="Arial"/>
                <w:sz w:val="16"/>
                <w:szCs w:val="16"/>
              </w:rPr>
              <w:t>36.104</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sidRPr="00BE076E">
              <w:rPr>
                <w:rFonts w:eastAsia="SimSun" w:cs="Arial"/>
                <w:bCs/>
                <w:sz w:val="16"/>
                <w:szCs w:val="16"/>
              </w:rPr>
              <w:t>Aggregated Channel Bandwidth</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The RF bandwidth in which a UE transmits and receives multiple contiguously aggregated carriers.</w:t>
            </w:r>
          </w:p>
        </w:tc>
        <w:tc>
          <w:tcPr>
            <w:tcW w:w="3960" w:type="dxa"/>
          </w:tcPr>
          <w:p w:rsidR="006A57F7" w:rsidRPr="00BE076E" w:rsidRDefault="006A57F7" w:rsidP="00AF482B">
            <w:pPr>
              <w:rPr>
                <w:rFonts w:ascii="Arial" w:eastAsia="SimSun" w:hAnsi="Arial" w:cs="Arial"/>
                <w:sz w:val="16"/>
                <w:szCs w:val="16"/>
              </w:rPr>
            </w:pPr>
            <w:r w:rsidRPr="00BE076E">
              <w:rPr>
                <w:rFonts w:ascii="Arial" w:eastAsia="SimSun" w:hAnsi="Arial" w:cs="Arial"/>
                <w:sz w:val="16"/>
                <w:szCs w:val="16"/>
              </w:rPr>
              <w:t xml:space="preserve">RF bandwidth </w:t>
            </w:r>
            <w:r w:rsidRPr="00BE076E">
              <w:rPr>
                <w:rFonts w:ascii="Arial" w:hAnsi="Arial" w:cs="Arial"/>
                <w:sz w:val="16"/>
                <w:szCs w:val="16"/>
              </w:rPr>
              <w:t xml:space="preserve">in which a base station transmits and/or receives </w:t>
            </w:r>
            <w:r w:rsidRPr="00BE076E">
              <w:rPr>
                <w:rFonts w:ascii="Arial" w:eastAsia="SimSun" w:hAnsi="Arial" w:cs="Arial"/>
                <w:sz w:val="16"/>
                <w:szCs w:val="16"/>
              </w:rPr>
              <w:t xml:space="preserve">multiple </w:t>
            </w:r>
            <w:r w:rsidRPr="00BE076E">
              <w:rPr>
                <w:rFonts w:ascii="Arial" w:hAnsi="Arial" w:cs="Arial"/>
                <w:sz w:val="16"/>
                <w:szCs w:val="16"/>
              </w:rPr>
              <w:t>contiguously aggregated</w:t>
            </w:r>
            <w:r w:rsidRPr="00BE076E">
              <w:rPr>
                <w:rFonts w:ascii="Arial" w:eastAsia="SimSun" w:hAnsi="Arial" w:cs="Arial"/>
                <w:sz w:val="16"/>
                <w:szCs w:val="16"/>
              </w:rPr>
              <w:t xml:space="preserve"> carriers.</w:t>
            </w:r>
          </w:p>
        </w:tc>
      </w:tr>
      <w:tr w:rsidR="006A57F7" w:rsidTr="00AF482B">
        <w:tc>
          <w:tcPr>
            <w:tcW w:w="1705" w:type="dxa"/>
          </w:tcPr>
          <w:p w:rsidR="006A57F7" w:rsidRPr="0027556A" w:rsidRDefault="006A57F7" w:rsidP="00AF482B">
            <w:pPr>
              <w:pStyle w:val="Doc-text2"/>
              <w:ind w:left="0" w:firstLine="0"/>
              <w:rPr>
                <w:rFonts w:eastAsia="SimSun" w:cs="Arial"/>
                <w:bCs/>
                <w:sz w:val="16"/>
                <w:szCs w:val="16"/>
              </w:rPr>
            </w:pPr>
            <w:r w:rsidRPr="0027556A">
              <w:rPr>
                <w:rFonts w:eastAsia="SimSun" w:cs="Arial"/>
                <w:bCs/>
                <w:sz w:val="16"/>
                <w:szCs w:val="16"/>
              </w:rPr>
              <w:t>Aggregated Transm</w:t>
            </w:r>
            <w:r>
              <w:rPr>
                <w:rFonts w:eastAsia="SimSun" w:cs="Arial"/>
                <w:bCs/>
                <w:sz w:val="16"/>
                <w:szCs w:val="16"/>
              </w:rPr>
              <w:t>ission Bandwidth Configuration</w:t>
            </w:r>
          </w:p>
        </w:tc>
        <w:tc>
          <w:tcPr>
            <w:tcW w:w="3960" w:type="dxa"/>
          </w:tcPr>
          <w:p w:rsidR="006A57F7" w:rsidRPr="0027556A" w:rsidRDefault="006A57F7" w:rsidP="00AF482B">
            <w:pPr>
              <w:pStyle w:val="Doc-text2"/>
              <w:ind w:left="0" w:firstLine="0"/>
              <w:rPr>
                <w:rFonts w:cs="Arial"/>
                <w:sz w:val="16"/>
                <w:szCs w:val="16"/>
                <w:lang w:val="en-GB"/>
              </w:rPr>
            </w:pPr>
            <w:r w:rsidRPr="0027556A">
              <w:rPr>
                <w:rFonts w:eastAsia="SimSun" w:cs="Arial"/>
                <w:bCs/>
                <w:sz w:val="16"/>
                <w:szCs w:val="16"/>
              </w:rPr>
              <w:t>The number of resource block allocated within the aggregated channel bandwidth.</w:t>
            </w:r>
          </w:p>
        </w:tc>
        <w:tc>
          <w:tcPr>
            <w:tcW w:w="3960" w:type="dxa"/>
          </w:tcPr>
          <w:p w:rsidR="006A57F7" w:rsidRPr="00BE076E" w:rsidRDefault="006A57F7" w:rsidP="00AF482B">
            <w:pPr>
              <w:rPr>
                <w:rFonts w:ascii="Arial" w:eastAsia="SimSun" w:hAnsi="Arial" w:cs="Arial"/>
                <w:sz w:val="16"/>
                <w:szCs w:val="16"/>
              </w:rPr>
            </w:pPr>
          </w:p>
        </w:tc>
      </w:tr>
      <w:tr w:rsidR="006A57F7" w:rsidTr="00AF482B">
        <w:tc>
          <w:tcPr>
            <w:tcW w:w="1705" w:type="dxa"/>
          </w:tcPr>
          <w:p w:rsidR="006A57F7" w:rsidRPr="0027556A" w:rsidRDefault="006A57F7" w:rsidP="00AF482B">
            <w:pPr>
              <w:rPr>
                <w:rFonts w:ascii="Arial" w:eastAsia="Times New Roman" w:hAnsi="Arial" w:cs="Arial"/>
                <w:sz w:val="16"/>
                <w:szCs w:val="16"/>
                <w:lang w:eastAsia="zh-CN"/>
              </w:rPr>
            </w:pPr>
            <w:r w:rsidRPr="0027556A">
              <w:rPr>
                <w:rFonts w:ascii="Arial" w:hAnsi="Arial" w:cs="Arial"/>
                <w:bCs/>
                <w:sz w:val="16"/>
                <w:szCs w:val="16"/>
              </w:rPr>
              <w:t>Base Station RF Bandwidth</w:t>
            </w:r>
          </w:p>
          <w:p w:rsidR="006A57F7" w:rsidRPr="0027556A" w:rsidRDefault="006A57F7" w:rsidP="00AF482B">
            <w:pPr>
              <w:pStyle w:val="Doc-text2"/>
              <w:ind w:left="0" w:firstLine="0"/>
              <w:rPr>
                <w:rFonts w:cs="Arial"/>
                <w:sz w:val="16"/>
                <w:szCs w:val="16"/>
                <w:lang w:val="en-US"/>
              </w:rPr>
            </w:pP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GB"/>
              </w:rPr>
            </w:pPr>
            <w:r w:rsidRPr="00BE076E">
              <w:rPr>
                <w:sz w:val="16"/>
                <w:szCs w:val="16"/>
              </w:rPr>
              <w:t xml:space="preserve">RF bandwidth in which a base station transmits and/or receives single or multiple carrier(s) </w:t>
            </w:r>
            <w:r w:rsidRPr="00BE076E">
              <w:rPr>
                <w:rFonts w:eastAsia="SimSun"/>
                <w:sz w:val="16"/>
                <w:szCs w:val="16"/>
                <w:lang w:eastAsia="zh-CN"/>
              </w:rPr>
              <w:t>within a supported operating band.</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Base Station RF Bandwidth edge</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frequency of one of the edges of the Base Station RF Bandwidth.</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Carrier</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modulated waveform conveying the E-UTRA or UTRA physical channels</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Carrier aggregation</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Aggregation of two or more component carriers in order to support wider transmission bandwidths.</w:t>
            </w: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aggregation of two or more component carriers in order to support wider transmission bandwidths</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Carrier aggregation band</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A set of one or more operating bands across which multiple carriers are aggregated with a specific set of technical requirements.</w:t>
            </w: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a set of one or more operating bands across which multiple carriers are aggregated with a specific set of technical requirements.</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Carrier aggregation bandwidth class</w:t>
            </w:r>
          </w:p>
        </w:tc>
        <w:tc>
          <w:tcPr>
            <w:tcW w:w="3960" w:type="dxa"/>
          </w:tcPr>
          <w:p w:rsidR="006A57F7" w:rsidRPr="0027556A" w:rsidRDefault="006A57F7" w:rsidP="00AF482B">
            <w:pPr>
              <w:pStyle w:val="Doc-text2"/>
              <w:ind w:left="0" w:firstLine="0"/>
              <w:rPr>
                <w:rFonts w:cs="Arial"/>
                <w:sz w:val="16"/>
                <w:szCs w:val="16"/>
                <w:lang w:val="en-GB"/>
              </w:rPr>
            </w:pPr>
            <w:r w:rsidRPr="0027556A">
              <w:rPr>
                <w:rFonts w:cs="Arial"/>
                <w:sz w:val="16"/>
                <w:szCs w:val="16"/>
                <w:lang w:val="en-GB"/>
              </w:rPr>
              <w:t>A class defined by the aggregated transmission bandwidth configuration and maximum number of component carriers supported by a UE.</w:t>
            </w:r>
          </w:p>
        </w:tc>
        <w:tc>
          <w:tcPr>
            <w:tcW w:w="3960" w:type="dxa"/>
          </w:tcPr>
          <w:p w:rsidR="006A57F7" w:rsidRPr="00BE076E" w:rsidRDefault="006A57F7" w:rsidP="00AF482B">
            <w:pPr>
              <w:pStyle w:val="Doc-text2"/>
              <w:ind w:left="0" w:firstLine="0"/>
              <w:rPr>
                <w:rFonts w:cs="Arial"/>
                <w:sz w:val="16"/>
                <w:szCs w:val="16"/>
                <w:lang w:val="en-GB"/>
              </w:rPr>
            </w:pPr>
          </w:p>
        </w:tc>
      </w:tr>
      <w:tr w:rsidR="006A57F7" w:rsidTr="00AF482B">
        <w:tc>
          <w:tcPr>
            <w:tcW w:w="1705" w:type="dxa"/>
          </w:tcPr>
          <w:p w:rsidR="006A57F7" w:rsidRPr="0027556A" w:rsidRDefault="006A57F7" w:rsidP="00AF482B">
            <w:pPr>
              <w:pStyle w:val="Doc-text2"/>
              <w:ind w:left="0" w:firstLine="0"/>
              <w:rPr>
                <w:rFonts w:cs="Arial"/>
                <w:sz w:val="16"/>
                <w:szCs w:val="16"/>
                <w:lang w:val="en-GB"/>
              </w:rPr>
            </w:pPr>
            <w:r w:rsidRPr="0027556A">
              <w:rPr>
                <w:rFonts w:cs="Arial"/>
                <w:sz w:val="16"/>
                <w:szCs w:val="16"/>
                <w:lang w:val="en-GB"/>
              </w:rPr>
              <w:t>Carrier aggregation configuration</w:t>
            </w:r>
          </w:p>
        </w:tc>
        <w:tc>
          <w:tcPr>
            <w:tcW w:w="3960" w:type="dxa"/>
          </w:tcPr>
          <w:p w:rsidR="006A57F7" w:rsidRPr="0027556A" w:rsidRDefault="006A57F7" w:rsidP="00AF482B">
            <w:pPr>
              <w:pStyle w:val="Doc-text2"/>
              <w:ind w:left="0" w:firstLine="0"/>
              <w:rPr>
                <w:rFonts w:cs="Arial"/>
                <w:sz w:val="16"/>
                <w:szCs w:val="16"/>
                <w:lang w:val="en-GB"/>
              </w:rPr>
            </w:pPr>
            <w:r w:rsidRPr="0027556A">
              <w:rPr>
                <w:rFonts w:cs="Arial"/>
                <w:sz w:val="16"/>
                <w:szCs w:val="16"/>
                <w:lang w:val="en-GB"/>
              </w:rPr>
              <w:t>A combination of CA operating band(s) and CA bandwidth class(</w:t>
            </w:r>
            <w:proofErr w:type="spellStart"/>
            <w:r w:rsidRPr="0027556A">
              <w:rPr>
                <w:rFonts w:cs="Arial"/>
                <w:sz w:val="16"/>
                <w:szCs w:val="16"/>
                <w:lang w:val="en-GB"/>
              </w:rPr>
              <w:t>es</w:t>
            </w:r>
            <w:proofErr w:type="spellEnd"/>
            <w:r w:rsidRPr="0027556A">
              <w:rPr>
                <w:rFonts w:cs="Arial"/>
                <w:sz w:val="16"/>
                <w:szCs w:val="16"/>
                <w:lang w:val="en-GB"/>
              </w:rPr>
              <w:t>) supported by a UE.</w:t>
            </w:r>
          </w:p>
        </w:tc>
        <w:tc>
          <w:tcPr>
            <w:tcW w:w="3960" w:type="dxa"/>
          </w:tcPr>
          <w:p w:rsidR="006A57F7" w:rsidRPr="00BE076E" w:rsidRDefault="006A57F7" w:rsidP="00AF482B">
            <w:pPr>
              <w:pStyle w:val="Doc-text2"/>
              <w:ind w:left="0" w:firstLine="0"/>
              <w:rPr>
                <w:rFonts w:cs="Arial"/>
                <w:sz w:val="16"/>
                <w:szCs w:val="16"/>
                <w:lang w:val="en-GB"/>
              </w:rPr>
            </w:pP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Pr>
                <w:rFonts w:cs="Arial"/>
                <w:sz w:val="16"/>
                <w:szCs w:val="16"/>
                <w:lang w:val="en-US"/>
              </w:rPr>
              <w:t>Channel bandwidth</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The RF bandwidth supporting a single E-UTRA RF carrier with the transmission bandwidth configured in the uplink or downlink of a cell. The channel bandwidth is measured in MHz and is used as a reference for transmitter and receiver RF requirements.</w:t>
            </w: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US"/>
              </w:rPr>
              <w:t>RF bandwidth supporting a single E-UTRA RF carrier with the transmission bandwidth configured in the uplink or downlink of a cell.</w:t>
            </w: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Pr>
                <w:rFonts w:cs="Arial"/>
                <w:sz w:val="16"/>
                <w:szCs w:val="16"/>
                <w:lang w:val="en-US"/>
              </w:rPr>
              <w:t>Channel edge</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US"/>
              </w:rPr>
              <w:t>The lowest and highest frequency of the carrier, separated by the channel bandwidth.</w:t>
            </w:r>
          </w:p>
        </w:tc>
        <w:tc>
          <w:tcPr>
            <w:tcW w:w="3960" w:type="dxa"/>
          </w:tcPr>
          <w:p w:rsidR="006A57F7" w:rsidRPr="00BE076E" w:rsidRDefault="006A57F7" w:rsidP="00AF482B">
            <w:pPr>
              <w:pStyle w:val="Doc-text2"/>
              <w:ind w:left="0" w:firstLine="0"/>
              <w:rPr>
                <w:rFonts w:cs="Arial"/>
                <w:sz w:val="16"/>
                <w:szCs w:val="16"/>
                <w:lang w:val="en-US"/>
              </w:rPr>
            </w:pP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Pr>
                <w:rFonts w:cs="Arial"/>
                <w:sz w:val="16"/>
                <w:szCs w:val="16"/>
                <w:lang w:val="en-US"/>
              </w:rPr>
              <w:t>Contiguous carriers</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A set of two or more carriers configured in a spectrum block where there are no RF requirements based on co-existence for un-coordinated operation within the spectrum block.</w:t>
            </w:r>
          </w:p>
        </w:tc>
        <w:tc>
          <w:tcPr>
            <w:tcW w:w="3960"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set of two or more carriers configured in a spectrum block where there are no RF requirements based on co-existence for un-coordinated operation within the spectrum block.</w:t>
            </w: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Pr>
                <w:rFonts w:cs="Arial"/>
                <w:sz w:val="16"/>
                <w:szCs w:val="16"/>
                <w:lang w:val="en-US"/>
              </w:rPr>
              <w:t>Contiguous spectrum</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Spectrum consisting of a contiguous block of spectrum with no sub-block gaps.</w:t>
            </w:r>
          </w:p>
        </w:tc>
        <w:tc>
          <w:tcPr>
            <w:tcW w:w="3960"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spectrum consisting of a contiguous block of spectrum with no sub-block gap(s).</w:t>
            </w: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lastRenderedPageBreak/>
              <w:t xml:space="preserve">Highest carrier: </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 xml:space="preserve">carrier with the highest carrier </w:t>
            </w:r>
            <w:proofErr w:type="spellStart"/>
            <w:r w:rsidRPr="00BE076E">
              <w:rPr>
                <w:rFonts w:cs="Arial"/>
                <w:sz w:val="16"/>
                <w:szCs w:val="16"/>
                <w:lang w:val="en-US"/>
              </w:rPr>
              <w:t>centre</w:t>
            </w:r>
            <w:proofErr w:type="spellEnd"/>
            <w:r w:rsidRPr="00BE076E">
              <w:rPr>
                <w:rFonts w:cs="Arial"/>
                <w:sz w:val="16"/>
                <w:szCs w:val="16"/>
                <w:lang w:val="en-US"/>
              </w:rPr>
              <w:t xml:space="preserve"> frequency transmitted/received in a specified operating band.</w:t>
            </w: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Pr>
                <w:rFonts w:cs="Arial"/>
                <w:sz w:val="16"/>
                <w:szCs w:val="16"/>
                <w:lang w:val="en-US"/>
              </w:rPr>
              <w:t>Inter RF Bandwidth gap</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frequency gap between two consecutive Base Station RF Bandwidths that are placed within two supported operating bands.</w:t>
            </w: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Pr>
                <w:rFonts w:cs="Arial"/>
                <w:sz w:val="16"/>
                <w:szCs w:val="16"/>
                <w:lang w:val="en-US"/>
              </w:rPr>
              <w:t>Inter-band carrier aggregation</w:t>
            </w:r>
          </w:p>
        </w:tc>
        <w:tc>
          <w:tcPr>
            <w:tcW w:w="3960" w:type="dxa"/>
          </w:tcPr>
          <w:p w:rsidR="006A57F7" w:rsidRPr="0027556A" w:rsidRDefault="006A57F7" w:rsidP="00AF482B">
            <w:pPr>
              <w:pStyle w:val="Doc-text2"/>
              <w:ind w:left="0" w:firstLine="0"/>
              <w:rPr>
                <w:rFonts w:cs="Arial"/>
                <w:sz w:val="16"/>
                <w:szCs w:val="16"/>
                <w:lang w:val="en-US"/>
              </w:rPr>
            </w:pPr>
            <w:r w:rsidRPr="0027556A">
              <w:rPr>
                <w:rFonts w:cs="Arial"/>
                <w:sz w:val="16"/>
                <w:szCs w:val="16"/>
                <w:lang w:val="en-US"/>
              </w:rPr>
              <w:t>Carrier aggregation of component carriers in different operating bands.</w:t>
            </w:r>
          </w:p>
        </w:tc>
        <w:tc>
          <w:tcPr>
            <w:tcW w:w="3960"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carrier aggregation of component carriers in different operating bands.</w:t>
            </w: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Pr>
                <w:rFonts w:cs="Arial"/>
                <w:sz w:val="16"/>
                <w:szCs w:val="16"/>
                <w:lang w:val="en-US"/>
              </w:rPr>
              <w:t>Inter-band gap</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The frequency gap between two supported consecutive operating bands.</w:t>
            </w: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 xml:space="preserve">Intra-band contiguous </w:t>
            </w:r>
            <w:r>
              <w:rPr>
                <w:rFonts w:cs="Arial"/>
                <w:sz w:val="16"/>
                <w:szCs w:val="16"/>
                <w:lang w:val="en-US"/>
              </w:rPr>
              <w:t>carrier aggregation</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Contiguous carriers aggregated in the same operating band.</w:t>
            </w:r>
          </w:p>
        </w:tc>
        <w:tc>
          <w:tcPr>
            <w:tcW w:w="3960"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contiguous carriers aggregated in the same operating band.</w:t>
            </w: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Intra-band no</w:t>
            </w:r>
            <w:r>
              <w:rPr>
                <w:rFonts w:cs="Arial"/>
                <w:sz w:val="16"/>
                <w:szCs w:val="16"/>
                <w:lang w:val="en-US"/>
              </w:rPr>
              <w:t>n-contiguous carrier aggregation</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Non-contiguous carriers aggregated in the same operating band.</w:t>
            </w:r>
          </w:p>
        </w:tc>
        <w:tc>
          <w:tcPr>
            <w:tcW w:w="3960" w:type="dxa"/>
          </w:tcPr>
          <w:p w:rsidR="006A57F7" w:rsidRPr="00BE076E" w:rsidRDefault="006A57F7" w:rsidP="00AF482B">
            <w:pPr>
              <w:pStyle w:val="Doc-text2"/>
              <w:ind w:left="0" w:firstLine="0"/>
              <w:rPr>
                <w:rFonts w:cs="Arial"/>
                <w:sz w:val="16"/>
                <w:szCs w:val="16"/>
                <w:lang w:val="en-US"/>
              </w:rPr>
            </w:pPr>
            <w:r w:rsidRPr="00BE076E">
              <w:rPr>
                <w:rFonts w:cs="Arial"/>
                <w:sz w:val="16"/>
                <w:szCs w:val="16"/>
                <w:lang w:val="en-US"/>
              </w:rPr>
              <w:t>non-contiguous carriers aggregated in the same operating band.</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Pr>
                <w:rFonts w:cs="Arial"/>
                <w:sz w:val="16"/>
                <w:szCs w:val="16"/>
                <w:lang w:val="en-GB"/>
              </w:rPr>
              <w:t>Lower sub-block edge</w:t>
            </w:r>
          </w:p>
        </w:tc>
        <w:tc>
          <w:tcPr>
            <w:tcW w:w="3960" w:type="dxa"/>
          </w:tcPr>
          <w:p w:rsidR="006A57F7" w:rsidRPr="0027556A" w:rsidRDefault="006A57F7" w:rsidP="00AF482B">
            <w:pPr>
              <w:pStyle w:val="Doc-text2"/>
              <w:ind w:left="0" w:firstLine="0"/>
              <w:rPr>
                <w:rFonts w:cs="Arial"/>
                <w:sz w:val="16"/>
                <w:szCs w:val="16"/>
                <w:lang w:val="en-US"/>
              </w:rPr>
            </w:pPr>
            <w:r w:rsidRPr="0027556A">
              <w:rPr>
                <w:rFonts w:cs="Arial"/>
                <w:sz w:val="16"/>
                <w:szCs w:val="16"/>
                <w:lang w:val="en-US"/>
              </w:rPr>
              <w:t>The frequency at the lower edge of one sub-block. It is used as a frequency reference point for both transmitter and receiver requirements.</w:t>
            </w: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frequency at the lower edge of one sub-block.</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Pr>
                <w:rFonts w:cs="Arial"/>
                <w:sz w:val="16"/>
                <w:szCs w:val="16"/>
                <w:lang w:val="en-GB"/>
              </w:rPr>
              <w:t>Lowest carrier</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carrier with the lowest carrier centre frequency transmitted/received in a specified operating band.</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Pr>
                <w:rFonts w:cs="Arial"/>
                <w:sz w:val="16"/>
                <w:szCs w:val="16"/>
                <w:lang w:val="en-GB"/>
              </w:rPr>
              <w:t>Non-contiguous spectrum</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Spectrum consisting of two or more sub-blocks separated by sub-block gap(s).</w:t>
            </w: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spectrum consisting of two or more sub-blocks separated by sub-block gap(s).</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Pr>
                <w:rFonts w:cs="Arial"/>
                <w:sz w:val="16"/>
                <w:szCs w:val="16"/>
                <w:lang w:val="en-GB"/>
              </w:rPr>
              <w:t>Radio Bandwidth</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GB"/>
              </w:rPr>
              <w:t>frequency difference between the upper edge of the highest used carrier and the lower edge of the lowest used carrier.</w:t>
            </w:r>
          </w:p>
        </w:tc>
      </w:tr>
      <w:tr w:rsidR="006A57F7" w:rsidTr="00AF482B">
        <w:tc>
          <w:tcPr>
            <w:tcW w:w="1705" w:type="dxa"/>
          </w:tcPr>
          <w:p w:rsidR="006A57F7" w:rsidRPr="00BE076E" w:rsidRDefault="006A57F7" w:rsidP="00AF482B">
            <w:pPr>
              <w:pStyle w:val="Doc-text2"/>
              <w:ind w:left="0" w:firstLine="0"/>
              <w:rPr>
                <w:rFonts w:cs="Arial"/>
                <w:sz w:val="16"/>
                <w:szCs w:val="16"/>
                <w:lang w:val="en-US"/>
              </w:rPr>
            </w:pPr>
            <w:r>
              <w:rPr>
                <w:rFonts w:cs="Arial"/>
                <w:sz w:val="16"/>
                <w:szCs w:val="16"/>
                <w:lang w:val="en-US"/>
              </w:rPr>
              <w:t>Sub-band</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GB"/>
              </w:rPr>
            </w:pPr>
            <w:r w:rsidRPr="00BE076E">
              <w:rPr>
                <w:rFonts w:cs="Arial"/>
                <w:sz w:val="16"/>
                <w:szCs w:val="16"/>
                <w:lang w:val="en-US"/>
              </w:rPr>
              <w:t>A sub-band of an operating band contains a part of the uplink and downlink frequency range of the operating band.</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Pr>
                <w:rFonts w:cs="Arial"/>
                <w:sz w:val="16"/>
                <w:szCs w:val="16"/>
                <w:lang w:val="en-GB"/>
              </w:rPr>
              <w:t>Sub-block</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This is one contiguous allocated block of spectrum for transmission and reception by the same UE. There may be multiple instances of sub-blocks within an RF bandwidth.</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one contiguous allocated block of spectrum for transmission and reception by the same base station.</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Pr>
                <w:rFonts w:cs="Arial"/>
                <w:sz w:val="16"/>
                <w:szCs w:val="16"/>
                <w:lang w:val="en-GB"/>
              </w:rPr>
              <w:t>Sub-block bandwidth</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The bandwidth of one sub-block.</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bandwidth of one sub-block.</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Sub-block</w:t>
            </w:r>
            <w:r>
              <w:rPr>
                <w:rFonts w:cs="Arial"/>
                <w:sz w:val="16"/>
                <w:szCs w:val="16"/>
                <w:lang w:val="en-GB"/>
              </w:rPr>
              <w:t xml:space="preserve"> gap</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A frequency gap between two consecutive sub-blocks within an RF bandwidth, where the RF requirements in the gap are based on co-existence for un-coordinated operation.</w:t>
            </w: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frequency gap between two consecutive sub-blocks within a Bae Station RF Bandwidth, where the RF requirements in the gap are based on co-existence for un-coordinated operation.</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Pr>
                <w:rFonts w:cs="Arial"/>
                <w:sz w:val="16"/>
                <w:szCs w:val="16"/>
                <w:lang w:val="en-GB"/>
              </w:rPr>
              <w:t>Transmission bandwidth</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RF Bandwidth of an instantaneous transmission from a UE or BS, measured in resource block units.</w:t>
            </w:r>
          </w:p>
        </w:tc>
      </w:tr>
      <w:tr w:rsidR="00FB76D2" w:rsidTr="00AF482B">
        <w:tc>
          <w:tcPr>
            <w:tcW w:w="1705" w:type="dxa"/>
          </w:tcPr>
          <w:p w:rsidR="00FB76D2" w:rsidRDefault="00FB76D2" w:rsidP="00AF482B">
            <w:pPr>
              <w:pStyle w:val="Doc-text2"/>
              <w:ind w:left="0" w:firstLine="0"/>
              <w:rPr>
                <w:rFonts w:cs="Arial"/>
                <w:sz w:val="16"/>
                <w:szCs w:val="16"/>
                <w:lang w:val="en-GB"/>
              </w:rPr>
            </w:pPr>
            <w:r w:rsidRPr="00FB76D2">
              <w:rPr>
                <w:rFonts w:cs="Arial"/>
                <w:sz w:val="16"/>
                <w:szCs w:val="16"/>
                <w:lang w:val="en-GB"/>
              </w:rPr>
              <w:t>Transmission bandwidth configuration</w:t>
            </w:r>
          </w:p>
        </w:tc>
        <w:tc>
          <w:tcPr>
            <w:tcW w:w="3960" w:type="dxa"/>
          </w:tcPr>
          <w:p w:rsidR="00FB76D2" w:rsidRPr="00BE076E" w:rsidRDefault="00FB76D2" w:rsidP="00AF482B">
            <w:pPr>
              <w:pStyle w:val="Doc-text2"/>
              <w:ind w:left="0" w:firstLine="0"/>
              <w:rPr>
                <w:rFonts w:cs="Arial"/>
                <w:sz w:val="16"/>
                <w:szCs w:val="16"/>
                <w:lang w:val="en-GB"/>
              </w:rPr>
            </w:pPr>
          </w:p>
        </w:tc>
        <w:tc>
          <w:tcPr>
            <w:tcW w:w="3960" w:type="dxa"/>
          </w:tcPr>
          <w:p w:rsidR="00FB76D2" w:rsidRPr="0027556A" w:rsidRDefault="00FB76D2" w:rsidP="00AF482B">
            <w:pPr>
              <w:pStyle w:val="Doc-text2"/>
              <w:ind w:left="0" w:firstLine="0"/>
              <w:rPr>
                <w:rFonts w:cs="Arial"/>
                <w:sz w:val="16"/>
                <w:szCs w:val="16"/>
                <w:lang w:val="en-GB"/>
              </w:rPr>
            </w:pPr>
            <w:r w:rsidRPr="00FB76D2">
              <w:rPr>
                <w:rFonts w:cs="Arial"/>
                <w:sz w:val="16"/>
                <w:szCs w:val="16"/>
                <w:lang w:val="en-GB"/>
              </w:rPr>
              <w:t>highest transmission bandwidth allowed for uplink or downlink in a given channel bandwidth, measured in resource block units.</w:t>
            </w:r>
          </w:p>
        </w:tc>
      </w:tr>
      <w:tr w:rsidR="006A57F7" w:rsidTr="00AF482B">
        <w:tc>
          <w:tcPr>
            <w:tcW w:w="1705" w:type="dxa"/>
          </w:tcPr>
          <w:p w:rsidR="006A57F7" w:rsidRPr="00BE076E" w:rsidRDefault="006A57F7" w:rsidP="00AF482B">
            <w:pPr>
              <w:pStyle w:val="Doc-text2"/>
              <w:ind w:left="0" w:firstLine="0"/>
              <w:rPr>
                <w:rFonts w:cs="Arial"/>
                <w:sz w:val="16"/>
                <w:szCs w:val="16"/>
                <w:lang w:val="en-GB"/>
              </w:rPr>
            </w:pPr>
            <w:r>
              <w:rPr>
                <w:rFonts w:cs="Arial"/>
                <w:sz w:val="16"/>
                <w:szCs w:val="16"/>
                <w:lang w:val="en-GB"/>
              </w:rPr>
              <w:t>Upper sub-block edge</w:t>
            </w:r>
          </w:p>
        </w:tc>
        <w:tc>
          <w:tcPr>
            <w:tcW w:w="3960" w:type="dxa"/>
          </w:tcPr>
          <w:p w:rsidR="006A57F7" w:rsidRPr="00BE076E" w:rsidRDefault="006A57F7" w:rsidP="00AF482B">
            <w:pPr>
              <w:pStyle w:val="Doc-text2"/>
              <w:ind w:left="0" w:firstLine="0"/>
              <w:rPr>
                <w:rFonts w:cs="Arial"/>
                <w:sz w:val="16"/>
                <w:szCs w:val="16"/>
                <w:lang w:val="en-GB"/>
              </w:rPr>
            </w:pPr>
          </w:p>
        </w:tc>
        <w:tc>
          <w:tcPr>
            <w:tcW w:w="3960" w:type="dxa"/>
          </w:tcPr>
          <w:p w:rsidR="006A57F7" w:rsidRPr="00BE076E" w:rsidRDefault="006A57F7" w:rsidP="00AF482B">
            <w:pPr>
              <w:pStyle w:val="Doc-text2"/>
              <w:ind w:left="0" w:firstLine="0"/>
              <w:rPr>
                <w:rFonts w:cs="Arial"/>
                <w:sz w:val="16"/>
                <w:szCs w:val="16"/>
                <w:lang w:val="en-GB"/>
              </w:rPr>
            </w:pPr>
            <w:r w:rsidRPr="0027556A">
              <w:rPr>
                <w:rFonts w:cs="Arial"/>
                <w:sz w:val="16"/>
                <w:szCs w:val="16"/>
                <w:lang w:val="en-GB"/>
              </w:rPr>
              <w:t>frequency at the upper edge of one sub-block.</w:t>
            </w:r>
          </w:p>
        </w:tc>
      </w:tr>
    </w:tbl>
    <w:p w:rsidR="006A57F7" w:rsidRDefault="006A57F7" w:rsidP="006A57F7">
      <w:pPr>
        <w:pStyle w:val="Doc-text2"/>
        <w:ind w:left="0" w:firstLine="0"/>
        <w:rPr>
          <w:rFonts w:ascii="Times New Roman" w:hAnsi="Times New Roman"/>
          <w:sz w:val="20"/>
          <w:lang w:val="en-GB"/>
        </w:rPr>
      </w:pPr>
    </w:p>
    <w:p w:rsidR="00EA1ED4" w:rsidRPr="00F9339D" w:rsidRDefault="00EA1ED4" w:rsidP="00EA1ED4">
      <w:pPr>
        <w:rPr>
          <w:b/>
          <w:i/>
        </w:rPr>
      </w:pPr>
      <w:r w:rsidRPr="00F9339D">
        <w:rPr>
          <w:b/>
          <w:i/>
        </w:rPr>
        <w:t xml:space="preserve">Observation </w:t>
      </w:r>
      <w:r>
        <w:rPr>
          <w:b/>
          <w:i/>
        </w:rPr>
        <w:t>4</w:t>
      </w:r>
      <w:r w:rsidRPr="00F9339D">
        <w:rPr>
          <w:b/>
          <w:i/>
        </w:rPr>
        <w:t xml:space="preserve">: </w:t>
      </w:r>
      <w:r w:rsidR="002C3D7B">
        <w:rPr>
          <w:b/>
          <w:i/>
        </w:rPr>
        <w:t>Spectrum related t</w:t>
      </w:r>
      <w:r>
        <w:rPr>
          <w:b/>
          <w:i/>
        </w:rPr>
        <w:t>erminologies in E-UTRA specs can be mostly reused in the NR.</w:t>
      </w:r>
    </w:p>
    <w:p w:rsidR="00213742" w:rsidRPr="006A57F7" w:rsidRDefault="00213742" w:rsidP="009F494C">
      <w:pPr>
        <w:rPr>
          <w:lang w:val="en-GB"/>
        </w:rPr>
      </w:pPr>
    </w:p>
    <w:p w:rsidR="008E42AE" w:rsidRPr="007116C6" w:rsidRDefault="008E42AE" w:rsidP="008E42AE">
      <w:pPr>
        <w:pStyle w:val="Heading3"/>
      </w:pPr>
      <w:r>
        <w:t xml:space="preserve">2.4 </w:t>
      </w:r>
      <w:r w:rsidR="00724C95">
        <w:t>Forward compatibility</w:t>
      </w:r>
      <w:r w:rsidR="00EB7F1C">
        <w:t xml:space="preserve"> on channel bandwidth</w:t>
      </w:r>
    </w:p>
    <w:p w:rsidR="00213742" w:rsidRDefault="00105232" w:rsidP="009F494C">
      <w:pPr>
        <w:rPr>
          <w:lang w:val="en-GB"/>
        </w:rPr>
      </w:pPr>
      <w:r>
        <w:rPr>
          <w:lang w:val="en-GB"/>
        </w:rPr>
        <w:t>In [4], the forward compatibility aspect</w:t>
      </w:r>
      <w:r w:rsidR="00EB7F1C">
        <w:rPr>
          <w:lang w:val="en-GB"/>
        </w:rPr>
        <w:t xml:space="preserve"> of the channel bandwidth</w:t>
      </w:r>
      <w:r>
        <w:rPr>
          <w:lang w:val="en-GB"/>
        </w:rPr>
        <w:t xml:space="preserve"> has been discussed regarding the wideband operation, in which the following proposals were made.</w:t>
      </w:r>
    </w:p>
    <w:p w:rsidR="00105232" w:rsidRPr="00202789" w:rsidRDefault="00105232" w:rsidP="00105232">
      <w:pPr>
        <w:pStyle w:val="ListParagraph"/>
        <w:numPr>
          <w:ilvl w:val="0"/>
          <w:numId w:val="30"/>
        </w:numPr>
        <w:rPr>
          <w:b/>
          <w:i/>
        </w:rPr>
      </w:pPr>
      <w:r w:rsidRPr="00202789">
        <w:rPr>
          <w:b/>
          <w:i/>
        </w:rPr>
        <w:t>Addition of new maximum channel bandwidths is allowed in future releases</w:t>
      </w:r>
    </w:p>
    <w:p w:rsidR="00105232" w:rsidRPr="00202789" w:rsidRDefault="00105232" w:rsidP="00105232">
      <w:pPr>
        <w:pStyle w:val="ListParagraph"/>
        <w:numPr>
          <w:ilvl w:val="0"/>
          <w:numId w:val="30"/>
        </w:numPr>
        <w:rPr>
          <w:b/>
          <w:i/>
        </w:rPr>
      </w:pPr>
      <w:r w:rsidRPr="00202789">
        <w:rPr>
          <w:b/>
          <w:i/>
        </w:rPr>
        <w:t>NR design should ensure forward compatibility, send LS to RAN1/2 to inform about this agreement</w:t>
      </w:r>
    </w:p>
    <w:p w:rsidR="00105232" w:rsidRPr="00202789" w:rsidRDefault="00105232" w:rsidP="00105232">
      <w:pPr>
        <w:pStyle w:val="ListParagraph"/>
        <w:numPr>
          <w:ilvl w:val="0"/>
          <w:numId w:val="30"/>
        </w:numPr>
        <w:rPr>
          <w:b/>
          <w:i/>
        </w:rPr>
      </w:pPr>
      <w:r w:rsidRPr="00202789">
        <w:rPr>
          <w:b/>
          <w:i/>
        </w:rPr>
        <w:t>All defined channel bandwidths should be supportable by at least one type of UE and will be defined in the UE specs. Implementation of channel bandwidths in the specs will be done in order to minimize market fragmentation of UE.</w:t>
      </w:r>
    </w:p>
    <w:p w:rsidR="00105232" w:rsidRPr="00202789" w:rsidRDefault="00105232" w:rsidP="00105232">
      <w:pPr>
        <w:pStyle w:val="ListParagraph"/>
        <w:numPr>
          <w:ilvl w:val="0"/>
          <w:numId w:val="30"/>
        </w:numPr>
        <w:rPr>
          <w:b/>
          <w:i/>
        </w:rPr>
      </w:pPr>
      <w:r w:rsidRPr="00202789">
        <w:rPr>
          <w:b/>
          <w:i/>
        </w:rPr>
        <w:t>FFS: Whether a fixed subset of all combinations of aggregations of potential Channel Bandwidths are specified for the BS, or whether the contiguous operated bandwidth is fully flexible for the BS, e.g. more granular than the minimum defined channel bandwidth. However a fixed subset will be tested.</w:t>
      </w:r>
    </w:p>
    <w:p w:rsidR="00105232" w:rsidRPr="00202789" w:rsidRDefault="00105232" w:rsidP="00105232">
      <w:pPr>
        <w:pStyle w:val="ListParagraph"/>
        <w:numPr>
          <w:ilvl w:val="0"/>
          <w:numId w:val="30"/>
        </w:numPr>
        <w:rPr>
          <w:b/>
          <w:i/>
        </w:rPr>
      </w:pPr>
      <w:r w:rsidRPr="00202789">
        <w:rPr>
          <w:b/>
          <w:i/>
        </w:rPr>
        <w:lastRenderedPageBreak/>
        <w:t>The set of channel bandwidths for the UE and max Channel Bandwidth for the UE and BS, will be band and SCS specific and can be different for UL &amp; DL</w:t>
      </w:r>
    </w:p>
    <w:p w:rsidR="00105232" w:rsidRDefault="00105232" w:rsidP="00105232">
      <w:pPr>
        <w:pStyle w:val="ListParagraph"/>
        <w:numPr>
          <w:ilvl w:val="0"/>
          <w:numId w:val="30"/>
        </w:numPr>
        <w:rPr>
          <w:b/>
          <w:i/>
        </w:rPr>
      </w:pPr>
      <w:r w:rsidRPr="00202789">
        <w:rPr>
          <w:b/>
          <w:i/>
        </w:rPr>
        <w:t>The maximum RF bandwidth supportable by BS can be larger than the maximum channel bandwidth</w:t>
      </w:r>
    </w:p>
    <w:p w:rsidR="00A80FED" w:rsidRDefault="00903C0A" w:rsidP="00652C82">
      <w:r>
        <w:t>We propose a</w:t>
      </w:r>
      <w:r w:rsidR="00333485">
        <w:t xml:space="preserve"> further clarification is </w:t>
      </w:r>
      <w:r>
        <w:t>to make them</w:t>
      </w:r>
      <w:r w:rsidR="00333485">
        <w:t xml:space="preserve"> </w:t>
      </w:r>
      <w:r w:rsidR="008C7160">
        <w:t>clear.</w:t>
      </w:r>
      <w:r w:rsidR="00807DC4">
        <w:t xml:space="preserve"> F</w:t>
      </w:r>
      <w:r>
        <w:t>or example</w:t>
      </w:r>
      <w:r w:rsidR="00807DC4">
        <w:t>, th</w:t>
      </w:r>
      <w:r w:rsidR="00931D43">
        <w:t>e</w:t>
      </w:r>
      <w:r w:rsidR="00807DC4">
        <w:t xml:space="preserve"> bullet on FFS is not clear enough </w:t>
      </w:r>
      <w:r w:rsidR="00B43CC4">
        <w:t xml:space="preserve">regarding </w:t>
      </w:r>
      <w:r w:rsidR="00807DC4">
        <w:t>what is t</w:t>
      </w:r>
      <w:r>
        <w:t>o be done to</w:t>
      </w:r>
      <w:r w:rsidR="00807DC4">
        <w:t xml:space="preserve"> the specification. We understand </w:t>
      </w:r>
      <w:r w:rsidR="00CC4E0C">
        <w:t xml:space="preserve">that </w:t>
      </w:r>
      <w:r w:rsidR="00807DC4">
        <w:t xml:space="preserve">the new channel bandwidth </w:t>
      </w:r>
      <w:r w:rsidR="00CC4E0C">
        <w:t xml:space="preserve">may </w:t>
      </w:r>
      <w:r w:rsidR="00807DC4">
        <w:t>be added per operator request in future release</w:t>
      </w:r>
      <w:r w:rsidR="00CC4E0C">
        <w:t>s. In summary, the following modification is proposed</w:t>
      </w:r>
      <w:r>
        <w:t xml:space="preserve"> with more clear intent into RAN4 specification</w:t>
      </w:r>
      <w:r w:rsidR="00CC4E0C">
        <w:t>.</w:t>
      </w:r>
    </w:p>
    <w:p w:rsidR="00933D3E" w:rsidRDefault="00AD26C9" w:rsidP="00652C82">
      <w:pPr>
        <w:rPr>
          <w:b/>
          <w:i/>
        </w:rPr>
      </w:pPr>
      <w:r>
        <w:rPr>
          <w:b/>
          <w:i/>
        </w:rPr>
        <w:t>Observation 5</w:t>
      </w:r>
      <w:r w:rsidR="00933D3E">
        <w:rPr>
          <w:b/>
          <w:i/>
        </w:rPr>
        <w:t xml:space="preserve">: The proposals </w:t>
      </w:r>
      <w:r>
        <w:rPr>
          <w:b/>
          <w:i/>
        </w:rPr>
        <w:t>in</w:t>
      </w:r>
      <w:r w:rsidR="00933D3E">
        <w:rPr>
          <w:b/>
          <w:i/>
        </w:rPr>
        <w:t xml:space="preserve"> [</w:t>
      </w:r>
      <w:r w:rsidR="00A36B92" w:rsidRPr="00A36B92">
        <w:rPr>
          <w:b/>
          <w:i/>
        </w:rPr>
        <w:t>R4-1704412</w:t>
      </w:r>
      <w:r>
        <w:rPr>
          <w:b/>
          <w:i/>
        </w:rPr>
        <w:t>]</w:t>
      </w:r>
      <w:r w:rsidR="00933D3E">
        <w:rPr>
          <w:b/>
          <w:i/>
        </w:rPr>
        <w:t xml:space="preserve"> </w:t>
      </w:r>
      <w:r w:rsidR="005A234D">
        <w:rPr>
          <w:b/>
          <w:i/>
        </w:rPr>
        <w:t>should</w:t>
      </w:r>
      <w:r w:rsidR="00933D3E">
        <w:rPr>
          <w:b/>
          <w:i/>
        </w:rPr>
        <w:t xml:space="preserve"> be </w:t>
      </w:r>
      <w:r w:rsidR="00333485">
        <w:rPr>
          <w:b/>
          <w:i/>
        </w:rPr>
        <w:t>modified in the following</w:t>
      </w:r>
      <w:r w:rsidR="00933D3E">
        <w:rPr>
          <w:b/>
          <w:i/>
        </w:rPr>
        <w:t>.</w:t>
      </w:r>
    </w:p>
    <w:p w:rsidR="00C50BBF" w:rsidRPr="00202789" w:rsidRDefault="00C50BBF" w:rsidP="00C50BBF">
      <w:pPr>
        <w:pStyle w:val="ListParagraph"/>
        <w:numPr>
          <w:ilvl w:val="0"/>
          <w:numId w:val="30"/>
        </w:numPr>
        <w:rPr>
          <w:b/>
          <w:i/>
        </w:rPr>
      </w:pPr>
      <w:r w:rsidRPr="00202789">
        <w:rPr>
          <w:b/>
          <w:i/>
        </w:rPr>
        <w:t xml:space="preserve">Addition of </w:t>
      </w:r>
      <w:r w:rsidR="00333485">
        <w:rPr>
          <w:b/>
          <w:i/>
        </w:rPr>
        <w:t>wider</w:t>
      </w:r>
      <w:r w:rsidRPr="00202789">
        <w:rPr>
          <w:b/>
          <w:i/>
        </w:rPr>
        <w:t xml:space="preserve"> channel bandwidths </w:t>
      </w:r>
      <w:r w:rsidR="00333485">
        <w:rPr>
          <w:b/>
          <w:i/>
        </w:rPr>
        <w:t xml:space="preserve">than specified in Rel-15 </w:t>
      </w:r>
      <w:r w:rsidRPr="00202789">
        <w:rPr>
          <w:b/>
          <w:i/>
        </w:rPr>
        <w:t>is allowed in future releases</w:t>
      </w:r>
    </w:p>
    <w:p w:rsidR="00C50BBF" w:rsidRPr="00202789" w:rsidRDefault="00C50BBF" w:rsidP="00C50BBF">
      <w:pPr>
        <w:pStyle w:val="ListParagraph"/>
        <w:numPr>
          <w:ilvl w:val="0"/>
          <w:numId w:val="30"/>
        </w:numPr>
        <w:rPr>
          <w:b/>
          <w:i/>
        </w:rPr>
      </w:pPr>
      <w:r w:rsidRPr="00202789">
        <w:rPr>
          <w:b/>
          <w:i/>
        </w:rPr>
        <w:t>NR design should ensure forward compatibility, send LS to RAN1/2 to inform about this agreement</w:t>
      </w:r>
    </w:p>
    <w:p w:rsidR="00333485" w:rsidRDefault="00C50BBF" w:rsidP="00C50BBF">
      <w:pPr>
        <w:pStyle w:val="ListParagraph"/>
        <w:numPr>
          <w:ilvl w:val="0"/>
          <w:numId w:val="30"/>
        </w:numPr>
        <w:rPr>
          <w:b/>
          <w:i/>
        </w:rPr>
      </w:pPr>
      <w:r w:rsidRPr="00202789">
        <w:rPr>
          <w:b/>
          <w:i/>
        </w:rPr>
        <w:t xml:space="preserve">All defined channel bandwidths should be supportable by at least one </w:t>
      </w:r>
      <w:r w:rsidR="00333485">
        <w:rPr>
          <w:b/>
          <w:i/>
        </w:rPr>
        <w:t>type of UE capability.</w:t>
      </w:r>
    </w:p>
    <w:p w:rsidR="00333485" w:rsidRDefault="00333485" w:rsidP="00C50BBF">
      <w:pPr>
        <w:pStyle w:val="ListParagraph"/>
        <w:numPr>
          <w:ilvl w:val="0"/>
          <w:numId w:val="30"/>
        </w:numPr>
        <w:rPr>
          <w:b/>
          <w:i/>
        </w:rPr>
      </w:pPr>
      <w:r>
        <w:rPr>
          <w:b/>
          <w:i/>
        </w:rPr>
        <w:t xml:space="preserve">UE shall support any </w:t>
      </w:r>
      <w:r w:rsidR="008C7160">
        <w:rPr>
          <w:b/>
          <w:i/>
        </w:rPr>
        <w:t xml:space="preserve">Rel-15 </w:t>
      </w:r>
      <w:r>
        <w:rPr>
          <w:b/>
          <w:i/>
        </w:rPr>
        <w:t xml:space="preserve">channel </w:t>
      </w:r>
      <w:r w:rsidR="008C7160">
        <w:rPr>
          <w:b/>
          <w:i/>
        </w:rPr>
        <w:t>bandwidth that is</w:t>
      </w:r>
      <w:r>
        <w:rPr>
          <w:b/>
          <w:i/>
        </w:rPr>
        <w:t xml:space="preserve"> smaller than its UE </w:t>
      </w:r>
      <w:r w:rsidR="00D216D6">
        <w:rPr>
          <w:b/>
          <w:i/>
        </w:rPr>
        <w:t xml:space="preserve">supported </w:t>
      </w:r>
      <w:r>
        <w:rPr>
          <w:b/>
          <w:i/>
        </w:rPr>
        <w:t>maximum channel bandwidth.</w:t>
      </w:r>
    </w:p>
    <w:p w:rsidR="00C50BBF" w:rsidRDefault="00C50BBF" w:rsidP="00C50BBF">
      <w:pPr>
        <w:pStyle w:val="ListParagraph"/>
        <w:numPr>
          <w:ilvl w:val="0"/>
          <w:numId w:val="30"/>
        </w:numPr>
        <w:rPr>
          <w:b/>
          <w:i/>
        </w:rPr>
      </w:pPr>
      <w:r w:rsidRPr="00202789">
        <w:rPr>
          <w:b/>
          <w:i/>
        </w:rPr>
        <w:t xml:space="preserve">The set of channel bandwidths </w:t>
      </w:r>
      <w:r w:rsidR="008C7160">
        <w:rPr>
          <w:b/>
          <w:i/>
        </w:rPr>
        <w:t xml:space="preserve">specified in Rel-15 </w:t>
      </w:r>
      <w:r>
        <w:rPr>
          <w:b/>
          <w:i/>
        </w:rPr>
        <w:t xml:space="preserve">shall be the same </w:t>
      </w:r>
      <w:r w:rsidR="0040507A">
        <w:rPr>
          <w:b/>
          <w:i/>
        </w:rPr>
        <w:t>in</w:t>
      </w:r>
      <w:r>
        <w:rPr>
          <w:b/>
          <w:i/>
        </w:rPr>
        <w:t xml:space="preserve"> UE and BS</w:t>
      </w:r>
      <w:r w:rsidR="0040507A">
        <w:rPr>
          <w:b/>
          <w:i/>
        </w:rPr>
        <w:t xml:space="preserve"> specs</w:t>
      </w:r>
      <w:r>
        <w:rPr>
          <w:b/>
          <w:i/>
        </w:rPr>
        <w:t xml:space="preserve">. It </w:t>
      </w:r>
      <w:r w:rsidRPr="00202789">
        <w:rPr>
          <w:b/>
          <w:i/>
        </w:rPr>
        <w:t>will be band and SCS specific</w:t>
      </w:r>
      <w:r>
        <w:rPr>
          <w:b/>
          <w:i/>
        </w:rPr>
        <w:t xml:space="preserve">. </w:t>
      </w:r>
    </w:p>
    <w:p w:rsidR="00C50BBF" w:rsidRPr="00202789" w:rsidRDefault="00C50BBF" w:rsidP="00C50BBF">
      <w:pPr>
        <w:pStyle w:val="ListParagraph"/>
        <w:numPr>
          <w:ilvl w:val="0"/>
          <w:numId w:val="30"/>
        </w:numPr>
        <w:rPr>
          <w:b/>
          <w:i/>
        </w:rPr>
      </w:pPr>
      <w:r>
        <w:rPr>
          <w:b/>
          <w:i/>
        </w:rPr>
        <w:t>The maximum channel bandwidth supported by UE</w:t>
      </w:r>
      <w:r w:rsidRPr="00202789">
        <w:rPr>
          <w:b/>
          <w:i/>
        </w:rPr>
        <w:t xml:space="preserve"> can be different for UL &amp; DL</w:t>
      </w:r>
      <w:r w:rsidR="00931D43">
        <w:rPr>
          <w:b/>
          <w:i/>
        </w:rPr>
        <w:t xml:space="preserve"> and SCS specific.</w:t>
      </w:r>
    </w:p>
    <w:p w:rsidR="00C50BBF" w:rsidRDefault="008C7160" w:rsidP="00C50BBF">
      <w:pPr>
        <w:pStyle w:val="ListParagraph"/>
        <w:numPr>
          <w:ilvl w:val="0"/>
          <w:numId w:val="30"/>
        </w:numPr>
        <w:rPr>
          <w:b/>
          <w:i/>
        </w:rPr>
      </w:pPr>
      <w:r>
        <w:rPr>
          <w:b/>
          <w:i/>
        </w:rPr>
        <w:t xml:space="preserve">Base station </w:t>
      </w:r>
      <w:r w:rsidR="00C50BBF" w:rsidRPr="00202789">
        <w:rPr>
          <w:b/>
          <w:i/>
        </w:rPr>
        <w:t xml:space="preserve">RF bandwidth can be larger than the </w:t>
      </w:r>
      <w:r>
        <w:rPr>
          <w:b/>
          <w:i/>
        </w:rPr>
        <w:t>largest</w:t>
      </w:r>
      <w:r w:rsidR="00C50BBF" w:rsidRPr="00202789">
        <w:rPr>
          <w:b/>
          <w:i/>
        </w:rPr>
        <w:t xml:space="preserve"> channel bandwidth</w:t>
      </w:r>
      <w:r>
        <w:rPr>
          <w:b/>
          <w:i/>
        </w:rPr>
        <w:t xml:space="preserve"> specified in Rel-15.</w:t>
      </w:r>
    </w:p>
    <w:p w:rsidR="00EB7F1C" w:rsidRPr="00EB7F1C" w:rsidRDefault="00EB7F1C" w:rsidP="00EB7F1C"/>
    <w:p w:rsidR="00FD060A" w:rsidRDefault="00FD060A" w:rsidP="00FD060A">
      <w:pPr>
        <w:pStyle w:val="Heading1"/>
      </w:pPr>
      <w:r>
        <w:t>3</w:t>
      </w:r>
      <w:r>
        <w:tab/>
        <w:t>Conclusion</w:t>
      </w:r>
    </w:p>
    <w:p w:rsidR="00176309" w:rsidRPr="00F9339D" w:rsidRDefault="00176309" w:rsidP="00176309">
      <w:pPr>
        <w:rPr>
          <w:b/>
          <w:i/>
        </w:rPr>
      </w:pPr>
      <w:r w:rsidRPr="00F9339D">
        <w:rPr>
          <w:b/>
          <w:i/>
        </w:rPr>
        <w:t xml:space="preserve">Observation 1: The aggregation of multiple </w:t>
      </w:r>
      <w:r>
        <w:rPr>
          <w:b/>
          <w:i/>
        </w:rPr>
        <w:t xml:space="preserve">transmission bandwidth configurations </w:t>
      </w:r>
      <w:r w:rsidRPr="00F9339D">
        <w:rPr>
          <w:b/>
          <w:i/>
        </w:rPr>
        <w:t>sh</w:t>
      </w:r>
      <w:r>
        <w:rPr>
          <w:b/>
          <w:i/>
        </w:rPr>
        <w:t>ould</w:t>
      </w:r>
      <w:r w:rsidRPr="00F9339D">
        <w:rPr>
          <w:b/>
          <w:i/>
        </w:rPr>
        <w:t xml:space="preserve"> be supported in the same way as LTE</w:t>
      </w:r>
      <w:r>
        <w:rPr>
          <w:b/>
          <w:i/>
        </w:rPr>
        <w:t xml:space="preserve"> for the NR</w:t>
      </w:r>
      <w:r w:rsidRPr="00F9339D">
        <w:rPr>
          <w:b/>
          <w:i/>
        </w:rPr>
        <w:t>.</w:t>
      </w:r>
    </w:p>
    <w:p w:rsidR="00176309" w:rsidRPr="00F9339D" w:rsidRDefault="00176309" w:rsidP="00176309">
      <w:pPr>
        <w:rPr>
          <w:b/>
          <w:i/>
        </w:rPr>
      </w:pPr>
      <w:r w:rsidRPr="00F9339D">
        <w:rPr>
          <w:b/>
          <w:i/>
        </w:rPr>
        <w:t xml:space="preserve">Observation </w:t>
      </w:r>
      <w:r>
        <w:rPr>
          <w:b/>
          <w:i/>
        </w:rPr>
        <w:t>2</w:t>
      </w:r>
      <w:r w:rsidRPr="00F9339D">
        <w:rPr>
          <w:b/>
          <w:i/>
        </w:rPr>
        <w:t>: The aggrega</w:t>
      </w:r>
      <w:r>
        <w:rPr>
          <w:b/>
          <w:i/>
        </w:rPr>
        <w:t>ted channel bandwidth (for some UEs) can be used as a single wider channel bandwidth (for other UEs).</w:t>
      </w:r>
    </w:p>
    <w:p w:rsidR="00176309" w:rsidRPr="00F9339D" w:rsidRDefault="00176309" w:rsidP="00176309">
      <w:pPr>
        <w:rPr>
          <w:b/>
          <w:i/>
        </w:rPr>
      </w:pPr>
      <w:r w:rsidRPr="00F9339D">
        <w:rPr>
          <w:b/>
          <w:i/>
        </w:rPr>
        <w:t xml:space="preserve">Observation </w:t>
      </w:r>
      <w:r>
        <w:rPr>
          <w:b/>
          <w:i/>
        </w:rPr>
        <w:t>3</w:t>
      </w:r>
      <w:r w:rsidRPr="00F9339D">
        <w:rPr>
          <w:b/>
          <w:i/>
        </w:rPr>
        <w:t xml:space="preserve">: </w:t>
      </w:r>
      <w:r>
        <w:rPr>
          <w:b/>
          <w:i/>
        </w:rPr>
        <w:t xml:space="preserve">For 100kHz channel raster, it is not always possible to achieve zero guard-band when aggregating multiple carriers. For 180kHz raster zero guard-band is always achievable. </w:t>
      </w:r>
    </w:p>
    <w:p w:rsidR="00176309" w:rsidRPr="00F9339D" w:rsidRDefault="00176309" w:rsidP="00176309">
      <w:pPr>
        <w:rPr>
          <w:b/>
          <w:i/>
        </w:rPr>
      </w:pPr>
      <w:r w:rsidRPr="00F9339D">
        <w:rPr>
          <w:b/>
          <w:i/>
        </w:rPr>
        <w:t xml:space="preserve">Observation </w:t>
      </w:r>
      <w:r>
        <w:rPr>
          <w:b/>
          <w:i/>
        </w:rPr>
        <w:t>4</w:t>
      </w:r>
      <w:r w:rsidRPr="00F9339D">
        <w:rPr>
          <w:b/>
          <w:i/>
        </w:rPr>
        <w:t xml:space="preserve">: </w:t>
      </w:r>
      <w:r>
        <w:rPr>
          <w:b/>
          <w:i/>
        </w:rPr>
        <w:t>Spectrum related terminologies in E-UTRA specs can be mostly reused in the NR.</w:t>
      </w:r>
    </w:p>
    <w:p w:rsidR="00431CBE" w:rsidRDefault="00431CBE" w:rsidP="00431CBE">
      <w:pPr>
        <w:rPr>
          <w:b/>
          <w:i/>
        </w:rPr>
      </w:pPr>
      <w:r>
        <w:rPr>
          <w:b/>
          <w:i/>
        </w:rPr>
        <w:t>Observation 5: The proposals in [</w:t>
      </w:r>
      <w:r w:rsidRPr="00A36B92">
        <w:rPr>
          <w:b/>
          <w:i/>
        </w:rPr>
        <w:t>R4-1704412</w:t>
      </w:r>
      <w:r>
        <w:rPr>
          <w:b/>
          <w:i/>
        </w:rPr>
        <w:t>] should be modified in the following.</w:t>
      </w:r>
    </w:p>
    <w:p w:rsidR="00431CBE" w:rsidRPr="00202789" w:rsidRDefault="00431CBE" w:rsidP="00431CBE">
      <w:pPr>
        <w:pStyle w:val="ListParagraph"/>
        <w:numPr>
          <w:ilvl w:val="0"/>
          <w:numId w:val="30"/>
        </w:numPr>
        <w:rPr>
          <w:b/>
          <w:i/>
        </w:rPr>
      </w:pPr>
      <w:r w:rsidRPr="00202789">
        <w:rPr>
          <w:b/>
          <w:i/>
        </w:rPr>
        <w:t xml:space="preserve">Addition of </w:t>
      </w:r>
      <w:r>
        <w:rPr>
          <w:b/>
          <w:i/>
        </w:rPr>
        <w:t>wider</w:t>
      </w:r>
      <w:r w:rsidRPr="00202789">
        <w:rPr>
          <w:b/>
          <w:i/>
        </w:rPr>
        <w:t xml:space="preserve"> channel bandwidths </w:t>
      </w:r>
      <w:r>
        <w:rPr>
          <w:b/>
          <w:i/>
        </w:rPr>
        <w:t xml:space="preserve">than specified in Rel-15 </w:t>
      </w:r>
      <w:r w:rsidRPr="00202789">
        <w:rPr>
          <w:b/>
          <w:i/>
        </w:rPr>
        <w:t>is allowed in future releases</w:t>
      </w:r>
    </w:p>
    <w:p w:rsidR="00431CBE" w:rsidRPr="00202789" w:rsidRDefault="00431CBE" w:rsidP="00431CBE">
      <w:pPr>
        <w:pStyle w:val="ListParagraph"/>
        <w:numPr>
          <w:ilvl w:val="0"/>
          <w:numId w:val="30"/>
        </w:numPr>
        <w:rPr>
          <w:b/>
          <w:i/>
        </w:rPr>
      </w:pPr>
      <w:r w:rsidRPr="00202789">
        <w:rPr>
          <w:b/>
          <w:i/>
        </w:rPr>
        <w:t>NR design should ensure forward compatibility, send LS to RAN1/2 to inform about this agreement</w:t>
      </w:r>
    </w:p>
    <w:p w:rsidR="00431CBE" w:rsidRDefault="00431CBE" w:rsidP="00431CBE">
      <w:pPr>
        <w:pStyle w:val="ListParagraph"/>
        <w:numPr>
          <w:ilvl w:val="0"/>
          <w:numId w:val="30"/>
        </w:numPr>
        <w:rPr>
          <w:b/>
          <w:i/>
        </w:rPr>
      </w:pPr>
      <w:r w:rsidRPr="00202789">
        <w:rPr>
          <w:b/>
          <w:i/>
        </w:rPr>
        <w:t xml:space="preserve">All defined channel bandwidths should be supportable by at least one </w:t>
      </w:r>
      <w:r>
        <w:rPr>
          <w:b/>
          <w:i/>
        </w:rPr>
        <w:t>type of UE capability.</w:t>
      </w:r>
    </w:p>
    <w:p w:rsidR="00431CBE" w:rsidRDefault="00431CBE" w:rsidP="00431CBE">
      <w:pPr>
        <w:pStyle w:val="ListParagraph"/>
        <w:numPr>
          <w:ilvl w:val="0"/>
          <w:numId w:val="30"/>
        </w:numPr>
        <w:rPr>
          <w:b/>
          <w:i/>
        </w:rPr>
      </w:pPr>
      <w:r>
        <w:rPr>
          <w:b/>
          <w:i/>
        </w:rPr>
        <w:t>UE shall support any Rel-15 channel bandwidth that is smaller than its UE supported maximum channel bandwidth.</w:t>
      </w:r>
    </w:p>
    <w:p w:rsidR="0040507A" w:rsidRDefault="0040507A" w:rsidP="0040507A">
      <w:pPr>
        <w:pStyle w:val="ListParagraph"/>
        <w:numPr>
          <w:ilvl w:val="0"/>
          <w:numId w:val="30"/>
        </w:numPr>
        <w:rPr>
          <w:b/>
          <w:i/>
        </w:rPr>
      </w:pPr>
      <w:r w:rsidRPr="00202789">
        <w:rPr>
          <w:b/>
          <w:i/>
        </w:rPr>
        <w:t xml:space="preserve">The set of channel bandwidths </w:t>
      </w:r>
      <w:r>
        <w:rPr>
          <w:b/>
          <w:i/>
        </w:rPr>
        <w:t xml:space="preserve">specified in Rel-15 shall be the same in UE and BS specs. It </w:t>
      </w:r>
      <w:r w:rsidRPr="00202789">
        <w:rPr>
          <w:b/>
          <w:i/>
        </w:rPr>
        <w:t>will be band and SCS specific</w:t>
      </w:r>
      <w:r>
        <w:rPr>
          <w:b/>
          <w:i/>
        </w:rPr>
        <w:t xml:space="preserve">. </w:t>
      </w:r>
    </w:p>
    <w:p w:rsidR="00431CBE" w:rsidRPr="00202789" w:rsidRDefault="00431CBE" w:rsidP="00431CBE">
      <w:pPr>
        <w:pStyle w:val="ListParagraph"/>
        <w:numPr>
          <w:ilvl w:val="0"/>
          <w:numId w:val="30"/>
        </w:numPr>
        <w:rPr>
          <w:b/>
          <w:i/>
        </w:rPr>
      </w:pPr>
      <w:r>
        <w:rPr>
          <w:b/>
          <w:i/>
        </w:rPr>
        <w:t>The maximum channel bandwidth supported by UE</w:t>
      </w:r>
      <w:r w:rsidRPr="00202789">
        <w:rPr>
          <w:b/>
          <w:i/>
        </w:rPr>
        <w:t xml:space="preserve"> can be different for UL &amp; DL</w:t>
      </w:r>
      <w:r>
        <w:rPr>
          <w:b/>
          <w:i/>
        </w:rPr>
        <w:t xml:space="preserve"> and SCS specific.</w:t>
      </w:r>
    </w:p>
    <w:p w:rsidR="00431CBE" w:rsidRDefault="00431CBE" w:rsidP="00431CBE">
      <w:pPr>
        <w:pStyle w:val="ListParagraph"/>
        <w:numPr>
          <w:ilvl w:val="0"/>
          <w:numId w:val="30"/>
        </w:numPr>
        <w:rPr>
          <w:b/>
          <w:i/>
        </w:rPr>
      </w:pPr>
      <w:r>
        <w:rPr>
          <w:b/>
          <w:i/>
        </w:rPr>
        <w:t xml:space="preserve">Base station </w:t>
      </w:r>
      <w:r w:rsidRPr="00202789">
        <w:rPr>
          <w:b/>
          <w:i/>
        </w:rPr>
        <w:t xml:space="preserve">RF bandwidth can be larger than the </w:t>
      </w:r>
      <w:r>
        <w:rPr>
          <w:b/>
          <w:i/>
        </w:rPr>
        <w:t>largest</w:t>
      </w:r>
      <w:r w:rsidRPr="00202789">
        <w:rPr>
          <w:b/>
          <w:i/>
        </w:rPr>
        <w:t xml:space="preserve"> channel bandwidth</w:t>
      </w:r>
      <w:r>
        <w:rPr>
          <w:b/>
          <w:i/>
        </w:rPr>
        <w:t xml:space="preserve"> specified in Rel-15.</w:t>
      </w:r>
    </w:p>
    <w:p w:rsidR="00E86386" w:rsidRPr="00176309" w:rsidRDefault="00E86386" w:rsidP="00423A6A">
      <w:pPr>
        <w:jc w:val="both"/>
        <w:rPr>
          <w:rFonts w:ascii="Times New Roman" w:hAnsi="Times New Roman"/>
          <w:sz w:val="20"/>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4</w:t>
      </w:r>
      <w:r w:rsidR="008F7E80">
        <w:rPr>
          <w:rFonts w:ascii="Arial" w:hAnsi="Arial"/>
          <w:sz w:val="36"/>
        </w:rPr>
        <w:tab/>
      </w:r>
      <w:r w:rsidR="00423A6A" w:rsidRPr="0032713B">
        <w:rPr>
          <w:rFonts w:ascii="Arial" w:hAnsi="Arial"/>
          <w:sz w:val="36"/>
        </w:rPr>
        <w:t>References</w:t>
      </w:r>
    </w:p>
    <w:p w:rsidR="00BD0088" w:rsidRPr="00732E9E" w:rsidRDefault="00BD0088" w:rsidP="00BD0088">
      <w:pPr>
        <w:numPr>
          <w:ilvl w:val="0"/>
          <w:numId w:val="1"/>
        </w:numPr>
        <w:spacing w:after="120"/>
        <w:jc w:val="both"/>
        <w:rPr>
          <w:bCs/>
        </w:rPr>
      </w:pPr>
      <w:r w:rsidRPr="00AA0523">
        <w:rPr>
          <w:bCs/>
        </w:rPr>
        <w:t>R1-1706615</w:t>
      </w:r>
      <w:r>
        <w:rPr>
          <w:bCs/>
        </w:rPr>
        <w:t>/</w:t>
      </w:r>
      <w:r w:rsidRPr="00AA0523">
        <w:rPr>
          <w:bCs/>
        </w:rPr>
        <w:t>R4-1704228</w:t>
      </w:r>
      <w:r>
        <w:rPr>
          <w:bCs/>
        </w:rPr>
        <w:tab/>
      </w:r>
      <w:r w:rsidRPr="00AA0523">
        <w:rPr>
          <w:bCs/>
        </w:rPr>
        <w:t>LS on Wideband Operating Options</w:t>
      </w:r>
    </w:p>
    <w:p w:rsidR="009F494C" w:rsidRPr="00B524D6" w:rsidRDefault="009F494C" w:rsidP="009F494C">
      <w:pPr>
        <w:numPr>
          <w:ilvl w:val="0"/>
          <w:numId w:val="1"/>
        </w:numPr>
        <w:spacing w:after="120"/>
        <w:jc w:val="both"/>
        <w:rPr>
          <w:bCs/>
        </w:rPr>
      </w:pPr>
      <w:r>
        <w:rPr>
          <w:bCs/>
        </w:rPr>
        <w:t>RAN4#82bis</w:t>
      </w:r>
      <w:r>
        <w:rPr>
          <w:bCs/>
        </w:rPr>
        <w:tab/>
        <w:t>Chairman’s minute</w:t>
      </w:r>
    </w:p>
    <w:p w:rsidR="00AA0523" w:rsidRDefault="00AA0523" w:rsidP="00AA0523">
      <w:pPr>
        <w:pStyle w:val="ListParagraph"/>
        <w:numPr>
          <w:ilvl w:val="0"/>
          <w:numId w:val="1"/>
        </w:numPr>
        <w:rPr>
          <w:bCs/>
        </w:rPr>
      </w:pPr>
      <w:r w:rsidRPr="00AA0523">
        <w:rPr>
          <w:bCs/>
        </w:rPr>
        <w:t>R4-1704398</w:t>
      </w:r>
      <w:r w:rsidRPr="00AA0523">
        <w:rPr>
          <w:bCs/>
        </w:rPr>
        <w:tab/>
        <w:t>WF on Channel bandwidth related terminology, NTT DOCOMO, INC.</w:t>
      </w:r>
    </w:p>
    <w:p w:rsidR="002970F2" w:rsidRDefault="002970F2" w:rsidP="002970F2">
      <w:pPr>
        <w:numPr>
          <w:ilvl w:val="0"/>
          <w:numId w:val="1"/>
        </w:numPr>
        <w:spacing w:after="120"/>
        <w:jc w:val="both"/>
        <w:rPr>
          <w:bCs/>
        </w:rPr>
      </w:pPr>
      <w:r w:rsidRPr="00574B41">
        <w:rPr>
          <w:bCs/>
        </w:rPr>
        <w:t>R4-1704412</w:t>
      </w:r>
      <w:r>
        <w:rPr>
          <w:bCs/>
        </w:rPr>
        <w:tab/>
      </w:r>
      <w:r w:rsidRPr="00936904">
        <w:rPr>
          <w:bCs/>
        </w:rPr>
        <w:t>WF on Maximum Channel Bandwidth</w:t>
      </w:r>
      <w:r>
        <w:rPr>
          <w:bCs/>
        </w:rPr>
        <w:t xml:space="preserve">, </w:t>
      </w:r>
      <w:r w:rsidRPr="00936904">
        <w:rPr>
          <w:bCs/>
        </w:rPr>
        <w:t>Qualcomm Incorporated, Vodafone, Dish</w:t>
      </w:r>
    </w:p>
    <w:p w:rsidR="002970F2" w:rsidRPr="00AA0523" w:rsidRDefault="00FA5960" w:rsidP="00FA5960">
      <w:pPr>
        <w:pStyle w:val="ListParagraph"/>
        <w:numPr>
          <w:ilvl w:val="0"/>
          <w:numId w:val="1"/>
        </w:numPr>
        <w:rPr>
          <w:bCs/>
        </w:rPr>
      </w:pPr>
      <w:r>
        <w:rPr>
          <w:bCs/>
        </w:rPr>
        <w:t>R4-170</w:t>
      </w:r>
      <w:r w:rsidR="00CA301B">
        <w:rPr>
          <w:bCs/>
        </w:rPr>
        <w:t>5696</w:t>
      </w:r>
      <w:bookmarkStart w:id="7" w:name="_GoBack"/>
      <w:bookmarkEnd w:id="7"/>
      <w:r>
        <w:rPr>
          <w:bCs/>
        </w:rPr>
        <w:tab/>
      </w:r>
      <w:r>
        <w:rPr>
          <w:bCs/>
        </w:rPr>
        <w:tab/>
      </w:r>
      <w:r w:rsidRPr="00FA5960">
        <w:rPr>
          <w:bCs/>
        </w:rPr>
        <w:t>Channel raster and numbering scheme in NR</w:t>
      </w:r>
      <w:r>
        <w:rPr>
          <w:bCs/>
        </w:rPr>
        <w:t xml:space="preserve">, </w:t>
      </w:r>
      <w:r w:rsidRPr="00FA5960">
        <w:rPr>
          <w:bCs/>
        </w:rPr>
        <w:t>Nokia, Alcatel-Lucent Shanghai Bell</w:t>
      </w:r>
    </w:p>
    <w:sectPr w:rsidR="002970F2" w:rsidRPr="00AA0523" w:rsidSect="00492124">
      <w:footerReference w:type="default" r:id="rId22"/>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B3C" w:rsidRDefault="00D67B3C">
      <w:r>
        <w:separator/>
      </w:r>
    </w:p>
  </w:endnote>
  <w:endnote w:type="continuationSeparator" w:id="0">
    <w:p w:rsidR="00D67B3C" w:rsidRDefault="00D6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auto"/>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601938714"/>
      <w:docPartObj>
        <w:docPartGallery w:val="Page Numbers (Bottom of Page)"/>
        <w:docPartUnique/>
      </w:docPartObj>
    </w:sdtPr>
    <w:sdtEndPr>
      <w:rPr>
        <w:noProof/>
      </w:rPr>
    </w:sdtEndPr>
    <w:sdtContent>
      <w:p w:rsidR="00A9259F" w:rsidRDefault="00A9259F">
        <w:pPr>
          <w:pStyle w:val="Footer"/>
        </w:pPr>
        <w:r>
          <w:rPr>
            <w:noProof w:val="0"/>
          </w:rPr>
          <w:fldChar w:fldCharType="begin"/>
        </w:r>
        <w:r>
          <w:instrText xml:space="preserve"> PAGE   \* MERGEFORMAT </w:instrText>
        </w:r>
        <w:r>
          <w:rPr>
            <w:noProof w:val="0"/>
          </w:rPr>
          <w:fldChar w:fldCharType="separate"/>
        </w:r>
        <w:r w:rsidR="00CA301B">
          <w:t>1</w:t>
        </w:r>
        <w:r>
          <w:fldChar w:fldCharType="end"/>
        </w:r>
      </w:p>
    </w:sdtContent>
  </w:sdt>
  <w:p w:rsidR="00A9259F" w:rsidRDefault="00A92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B3C" w:rsidRDefault="00D67B3C">
      <w:r>
        <w:separator/>
      </w:r>
    </w:p>
  </w:footnote>
  <w:footnote w:type="continuationSeparator" w:id="0">
    <w:p w:rsidR="00D67B3C" w:rsidRDefault="00D67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593FB8"/>
    <w:multiLevelType w:val="hybridMultilevel"/>
    <w:tmpl w:val="68B6A490"/>
    <w:lvl w:ilvl="0" w:tplc="D9ECC796">
      <w:start w:val="1"/>
      <w:numFmt w:val="bullet"/>
      <w:lvlText w:val="•"/>
      <w:lvlJc w:val="left"/>
      <w:pPr>
        <w:tabs>
          <w:tab w:val="num" w:pos="720"/>
        </w:tabs>
        <w:ind w:left="720" w:hanging="360"/>
      </w:pPr>
      <w:rPr>
        <w:rFonts w:ascii="Arial" w:hAnsi="Arial" w:hint="default"/>
      </w:rPr>
    </w:lvl>
    <w:lvl w:ilvl="1" w:tplc="7FA67E30">
      <w:numFmt w:val="bullet"/>
      <w:lvlText w:val="–"/>
      <w:lvlJc w:val="left"/>
      <w:pPr>
        <w:tabs>
          <w:tab w:val="num" w:pos="1440"/>
        </w:tabs>
        <w:ind w:left="1440" w:hanging="360"/>
      </w:pPr>
      <w:rPr>
        <w:rFonts w:ascii="Arial" w:hAnsi="Arial" w:hint="default"/>
      </w:rPr>
    </w:lvl>
    <w:lvl w:ilvl="2" w:tplc="5904525A" w:tentative="1">
      <w:start w:val="1"/>
      <w:numFmt w:val="bullet"/>
      <w:lvlText w:val="•"/>
      <w:lvlJc w:val="left"/>
      <w:pPr>
        <w:tabs>
          <w:tab w:val="num" w:pos="2160"/>
        </w:tabs>
        <w:ind w:left="2160" w:hanging="360"/>
      </w:pPr>
      <w:rPr>
        <w:rFonts w:ascii="Arial" w:hAnsi="Arial" w:hint="default"/>
      </w:rPr>
    </w:lvl>
    <w:lvl w:ilvl="3" w:tplc="D672648A" w:tentative="1">
      <w:start w:val="1"/>
      <w:numFmt w:val="bullet"/>
      <w:lvlText w:val="•"/>
      <w:lvlJc w:val="left"/>
      <w:pPr>
        <w:tabs>
          <w:tab w:val="num" w:pos="2880"/>
        </w:tabs>
        <w:ind w:left="2880" w:hanging="360"/>
      </w:pPr>
      <w:rPr>
        <w:rFonts w:ascii="Arial" w:hAnsi="Arial" w:hint="default"/>
      </w:rPr>
    </w:lvl>
    <w:lvl w:ilvl="4" w:tplc="999443D4" w:tentative="1">
      <w:start w:val="1"/>
      <w:numFmt w:val="bullet"/>
      <w:lvlText w:val="•"/>
      <w:lvlJc w:val="left"/>
      <w:pPr>
        <w:tabs>
          <w:tab w:val="num" w:pos="3600"/>
        </w:tabs>
        <w:ind w:left="3600" w:hanging="360"/>
      </w:pPr>
      <w:rPr>
        <w:rFonts w:ascii="Arial" w:hAnsi="Arial" w:hint="default"/>
      </w:rPr>
    </w:lvl>
    <w:lvl w:ilvl="5" w:tplc="A0BCF8DC" w:tentative="1">
      <w:start w:val="1"/>
      <w:numFmt w:val="bullet"/>
      <w:lvlText w:val="•"/>
      <w:lvlJc w:val="left"/>
      <w:pPr>
        <w:tabs>
          <w:tab w:val="num" w:pos="4320"/>
        </w:tabs>
        <w:ind w:left="4320" w:hanging="360"/>
      </w:pPr>
      <w:rPr>
        <w:rFonts w:ascii="Arial" w:hAnsi="Arial" w:hint="default"/>
      </w:rPr>
    </w:lvl>
    <w:lvl w:ilvl="6" w:tplc="9348B2A8" w:tentative="1">
      <w:start w:val="1"/>
      <w:numFmt w:val="bullet"/>
      <w:lvlText w:val="•"/>
      <w:lvlJc w:val="left"/>
      <w:pPr>
        <w:tabs>
          <w:tab w:val="num" w:pos="5040"/>
        </w:tabs>
        <w:ind w:left="5040" w:hanging="360"/>
      </w:pPr>
      <w:rPr>
        <w:rFonts w:ascii="Arial" w:hAnsi="Arial" w:hint="default"/>
      </w:rPr>
    </w:lvl>
    <w:lvl w:ilvl="7" w:tplc="5DA056EA" w:tentative="1">
      <w:start w:val="1"/>
      <w:numFmt w:val="bullet"/>
      <w:lvlText w:val="•"/>
      <w:lvlJc w:val="left"/>
      <w:pPr>
        <w:tabs>
          <w:tab w:val="num" w:pos="5760"/>
        </w:tabs>
        <w:ind w:left="5760" w:hanging="360"/>
      </w:pPr>
      <w:rPr>
        <w:rFonts w:ascii="Arial" w:hAnsi="Arial" w:hint="default"/>
      </w:rPr>
    </w:lvl>
    <w:lvl w:ilvl="8" w:tplc="E13416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E97624"/>
    <w:multiLevelType w:val="hybridMultilevel"/>
    <w:tmpl w:val="1EE6C9F6"/>
    <w:lvl w:ilvl="0" w:tplc="A850774C">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9725D"/>
    <w:multiLevelType w:val="hybridMultilevel"/>
    <w:tmpl w:val="579E9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7"/>
  </w:num>
  <w:num w:numId="3">
    <w:abstractNumId w:val="15"/>
  </w:num>
  <w:num w:numId="4">
    <w:abstractNumId w:val="27"/>
  </w:num>
  <w:num w:numId="5">
    <w:abstractNumId w:val="29"/>
  </w:num>
  <w:num w:numId="6">
    <w:abstractNumId w:val="23"/>
  </w:num>
  <w:num w:numId="7">
    <w:abstractNumId w:val="6"/>
  </w:num>
  <w:num w:numId="8">
    <w:abstractNumId w:val="11"/>
  </w:num>
  <w:num w:numId="9">
    <w:abstractNumId w:val="20"/>
  </w:num>
  <w:num w:numId="10">
    <w:abstractNumId w:val="20"/>
    <w:lvlOverride w:ilvl="0">
      <w:startOverride w:val="1"/>
    </w:lvlOverride>
  </w:num>
  <w:num w:numId="11">
    <w:abstractNumId w:val="26"/>
  </w:num>
  <w:num w:numId="12">
    <w:abstractNumId w:val="19"/>
  </w:num>
  <w:num w:numId="13">
    <w:abstractNumId w:val="12"/>
  </w:num>
  <w:num w:numId="14">
    <w:abstractNumId w:val="21"/>
  </w:num>
  <w:num w:numId="15">
    <w:abstractNumId w:val="13"/>
  </w:num>
  <w:num w:numId="16">
    <w:abstractNumId w:val="10"/>
  </w:num>
  <w:num w:numId="17">
    <w:abstractNumId w:val="5"/>
  </w:num>
  <w:num w:numId="18">
    <w:abstractNumId w:val="24"/>
  </w:num>
  <w:num w:numId="19">
    <w:abstractNumId w:val="14"/>
  </w:num>
  <w:num w:numId="20">
    <w:abstractNumId w:val="17"/>
  </w:num>
  <w:num w:numId="21">
    <w:abstractNumId w:val="25"/>
  </w:num>
  <w:num w:numId="22">
    <w:abstractNumId w:val="28"/>
  </w:num>
  <w:num w:numId="23">
    <w:abstractNumId w:val="16"/>
  </w:num>
  <w:num w:numId="24">
    <w:abstractNumId w:val="8"/>
  </w:num>
  <w:num w:numId="25">
    <w:abstractNumId w:val="22"/>
  </w:num>
  <w:num w:numId="26">
    <w:abstractNumId w:val="4"/>
  </w:num>
  <w:num w:numId="27">
    <w:abstractNumId w:val="0"/>
  </w:num>
  <w:num w:numId="28">
    <w:abstractNumId w:val="18"/>
  </w:num>
  <w:num w:numId="29">
    <w:abstractNumId w:val="2"/>
  </w:num>
  <w:num w:numId="30">
    <w:abstractNumId w:val="9"/>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5461"/>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4DEB"/>
    <w:rsid w:val="0001541B"/>
    <w:rsid w:val="0001622B"/>
    <w:rsid w:val="0001644E"/>
    <w:rsid w:val="00016A0C"/>
    <w:rsid w:val="000172CA"/>
    <w:rsid w:val="00017EDA"/>
    <w:rsid w:val="0002118F"/>
    <w:rsid w:val="000218AF"/>
    <w:rsid w:val="00021990"/>
    <w:rsid w:val="00021C9B"/>
    <w:rsid w:val="00021ECE"/>
    <w:rsid w:val="00022790"/>
    <w:rsid w:val="00022C9F"/>
    <w:rsid w:val="00023898"/>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1D0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0CA7"/>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D42"/>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025D"/>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5296"/>
    <w:rsid w:val="000C6964"/>
    <w:rsid w:val="000C6AB5"/>
    <w:rsid w:val="000C7538"/>
    <w:rsid w:val="000C7659"/>
    <w:rsid w:val="000C7C4D"/>
    <w:rsid w:val="000D0254"/>
    <w:rsid w:val="000D056B"/>
    <w:rsid w:val="000D153C"/>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E9"/>
    <w:rsid w:val="000E16F8"/>
    <w:rsid w:val="000E19E5"/>
    <w:rsid w:val="000E1CAA"/>
    <w:rsid w:val="000E3440"/>
    <w:rsid w:val="000E3442"/>
    <w:rsid w:val="000E35DA"/>
    <w:rsid w:val="000E3DEF"/>
    <w:rsid w:val="000E41A9"/>
    <w:rsid w:val="000E4A5F"/>
    <w:rsid w:val="000E5108"/>
    <w:rsid w:val="000E53D3"/>
    <w:rsid w:val="000E5F70"/>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4784"/>
    <w:rsid w:val="0010523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0C7"/>
    <w:rsid w:val="00133784"/>
    <w:rsid w:val="00133AC7"/>
    <w:rsid w:val="00135E52"/>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309"/>
    <w:rsid w:val="001765F6"/>
    <w:rsid w:val="00176D2D"/>
    <w:rsid w:val="001779E5"/>
    <w:rsid w:val="001779F1"/>
    <w:rsid w:val="001802CA"/>
    <w:rsid w:val="0018129E"/>
    <w:rsid w:val="001816EF"/>
    <w:rsid w:val="00181F7A"/>
    <w:rsid w:val="00182253"/>
    <w:rsid w:val="001825C2"/>
    <w:rsid w:val="00182C1B"/>
    <w:rsid w:val="001834F4"/>
    <w:rsid w:val="00183B99"/>
    <w:rsid w:val="00184D12"/>
    <w:rsid w:val="0018584F"/>
    <w:rsid w:val="00185D9D"/>
    <w:rsid w:val="00185E10"/>
    <w:rsid w:val="00186365"/>
    <w:rsid w:val="00186FFA"/>
    <w:rsid w:val="0018712B"/>
    <w:rsid w:val="00187135"/>
    <w:rsid w:val="00187AE7"/>
    <w:rsid w:val="001900A2"/>
    <w:rsid w:val="00191226"/>
    <w:rsid w:val="001915E3"/>
    <w:rsid w:val="00191DC6"/>
    <w:rsid w:val="00192BAC"/>
    <w:rsid w:val="00192DCF"/>
    <w:rsid w:val="00193DD4"/>
    <w:rsid w:val="00194A0C"/>
    <w:rsid w:val="00194D78"/>
    <w:rsid w:val="00195416"/>
    <w:rsid w:val="0019579C"/>
    <w:rsid w:val="00195E78"/>
    <w:rsid w:val="00196076"/>
    <w:rsid w:val="001964C0"/>
    <w:rsid w:val="001967F8"/>
    <w:rsid w:val="0019712E"/>
    <w:rsid w:val="00197BDF"/>
    <w:rsid w:val="001A0C55"/>
    <w:rsid w:val="001A103E"/>
    <w:rsid w:val="001A111A"/>
    <w:rsid w:val="001A11A8"/>
    <w:rsid w:val="001A1576"/>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EDD"/>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7B5"/>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3C1"/>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0DB"/>
    <w:rsid w:val="001F02B8"/>
    <w:rsid w:val="001F0967"/>
    <w:rsid w:val="001F0BB5"/>
    <w:rsid w:val="001F1047"/>
    <w:rsid w:val="001F1089"/>
    <w:rsid w:val="001F13ED"/>
    <w:rsid w:val="001F1951"/>
    <w:rsid w:val="001F1EC6"/>
    <w:rsid w:val="001F264F"/>
    <w:rsid w:val="001F30EF"/>
    <w:rsid w:val="001F3625"/>
    <w:rsid w:val="001F36A2"/>
    <w:rsid w:val="001F3FB3"/>
    <w:rsid w:val="001F4259"/>
    <w:rsid w:val="001F4898"/>
    <w:rsid w:val="001F5019"/>
    <w:rsid w:val="001F50D7"/>
    <w:rsid w:val="001F5DDD"/>
    <w:rsid w:val="00200870"/>
    <w:rsid w:val="00200E00"/>
    <w:rsid w:val="00202151"/>
    <w:rsid w:val="002026A7"/>
    <w:rsid w:val="00202789"/>
    <w:rsid w:val="00203461"/>
    <w:rsid w:val="00204B3A"/>
    <w:rsid w:val="00205969"/>
    <w:rsid w:val="00206164"/>
    <w:rsid w:val="00206773"/>
    <w:rsid w:val="00207194"/>
    <w:rsid w:val="00207806"/>
    <w:rsid w:val="002101E0"/>
    <w:rsid w:val="002103E3"/>
    <w:rsid w:val="00210C30"/>
    <w:rsid w:val="00211698"/>
    <w:rsid w:val="0021183C"/>
    <w:rsid w:val="00211D53"/>
    <w:rsid w:val="00211E49"/>
    <w:rsid w:val="00211EB6"/>
    <w:rsid w:val="00212413"/>
    <w:rsid w:val="002124E0"/>
    <w:rsid w:val="00212B6A"/>
    <w:rsid w:val="00212CC9"/>
    <w:rsid w:val="00212DC5"/>
    <w:rsid w:val="0021327A"/>
    <w:rsid w:val="002135D4"/>
    <w:rsid w:val="002136BC"/>
    <w:rsid w:val="00213742"/>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37E8D"/>
    <w:rsid w:val="00240427"/>
    <w:rsid w:val="00240A6A"/>
    <w:rsid w:val="00240D03"/>
    <w:rsid w:val="00241EBC"/>
    <w:rsid w:val="0024205E"/>
    <w:rsid w:val="00242553"/>
    <w:rsid w:val="002427D6"/>
    <w:rsid w:val="00242BA5"/>
    <w:rsid w:val="0024336B"/>
    <w:rsid w:val="00243B9B"/>
    <w:rsid w:val="00243B9D"/>
    <w:rsid w:val="00243C6C"/>
    <w:rsid w:val="00243C7D"/>
    <w:rsid w:val="00243D31"/>
    <w:rsid w:val="00244209"/>
    <w:rsid w:val="00244C44"/>
    <w:rsid w:val="00244CFE"/>
    <w:rsid w:val="00244DDE"/>
    <w:rsid w:val="002458BB"/>
    <w:rsid w:val="00245C9B"/>
    <w:rsid w:val="00245CF8"/>
    <w:rsid w:val="00246081"/>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25E"/>
    <w:rsid w:val="002813C1"/>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3BE6"/>
    <w:rsid w:val="00294C4F"/>
    <w:rsid w:val="00294DA9"/>
    <w:rsid w:val="002962B1"/>
    <w:rsid w:val="00296976"/>
    <w:rsid w:val="00296D6D"/>
    <w:rsid w:val="002970F2"/>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2D10"/>
    <w:rsid w:val="002B3667"/>
    <w:rsid w:val="002B39DF"/>
    <w:rsid w:val="002B3A79"/>
    <w:rsid w:val="002B4D11"/>
    <w:rsid w:val="002B50EA"/>
    <w:rsid w:val="002B60E3"/>
    <w:rsid w:val="002B6C25"/>
    <w:rsid w:val="002B7215"/>
    <w:rsid w:val="002B74ED"/>
    <w:rsid w:val="002B7773"/>
    <w:rsid w:val="002C06B7"/>
    <w:rsid w:val="002C139E"/>
    <w:rsid w:val="002C180A"/>
    <w:rsid w:val="002C39FE"/>
    <w:rsid w:val="002C3D7B"/>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B24"/>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261"/>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45A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8AB"/>
    <w:rsid w:val="00327B8D"/>
    <w:rsid w:val="00327DEB"/>
    <w:rsid w:val="0033013C"/>
    <w:rsid w:val="003302A3"/>
    <w:rsid w:val="003302DF"/>
    <w:rsid w:val="00330AFE"/>
    <w:rsid w:val="003315AB"/>
    <w:rsid w:val="00331C86"/>
    <w:rsid w:val="0033246C"/>
    <w:rsid w:val="00332CA2"/>
    <w:rsid w:val="00333485"/>
    <w:rsid w:val="003344D2"/>
    <w:rsid w:val="00335235"/>
    <w:rsid w:val="00335B31"/>
    <w:rsid w:val="00335C2D"/>
    <w:rsid w:val="00340887"/>
    <w:rsid w:val="00340968"/>
    <w:rsid w:val="00340BBC"/>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558"/>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7C9"/>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15B2"/>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CC3"/>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5E6"/>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7"/>
    <w:rsid w:val="0040053A"/>
    <w:rsid w:val="004006BC"/>
    <w:rsid w:val="00400C1D"/>
    <w:rsid w:val="00400D0A"/>
    <w:rsid w:val="00401B6D"/>
    <w:rsid w:val="00401E2C"/>
    <w:rsid w:val="00402838"/>
    <w:rsid w:val="00403375"/>
    <w:rsid w:val="00403435"/>
    <w:rsid w:val="0040343F"/>
    <w:rsid w:val="00403EB1"/>
    <w:rsid w:val="004042DC"/>
    <w:rsid w:val="0040507A"/>
    <w:rsid w:val="00405A85"/>
    <w:rsid w:val="00406595"/>
    <w:rsid w:val="0040697D"/>
    <w:rsid w:val="00406ED2"/>
    <w:rsid w:val="00410094"/>
    <w:rsid w:val="00410416"/>
    <w:rsid w:val="004107ED"/>
    <w:rsid w:val="00410E03"/>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737"/>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CBE"/>
    <w:rsid w:val="0043202F"/>
    <w:rsid w:val="00432110"/>
    <w:rsid w:val="004322E3"/>
    <w:rsid w:val="004327FE"/>
    <w:rsid w:val="0043287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B55"/>
    <w:rsid w:val="0045315D"/>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45CB"/>
    <w:rsid w:val="00474673"/>
    <w:rsid w:val="00475614"/>
    <w:rsid w:val="00475755"/>
    <w:rsid w:val="00475C63"/>
    <w:rsid w:val="00475D9E"/>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1F5C"/>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057"/>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658"/>
    <w:rsid w:val="00597EBB"/>
    <w:rsid w:val="005A0173"/>
    <w:rsid w:val="005A1C50"/>
    <w:rsid w:val="005A1FD9"/>
    <w:rsid w:val="005A234D"/>
    <w:rsid w:val="005A23C4"/>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D07CC"/>
    <w:rsid w:val="005D08ED"/>
    <w:rsid w:val="005D1312"/>
    <w:rsid w:val="005D14E2"/>
    <w:rsid w:val="005D1A3E"/>
    <w:rsid w:val="005D2497"/>
    <w:rsid w:val="005D26C8"/>
    <w:rsid w:val="005D2E62"/>
    <w:rsid w:val="005D3076"/>
    <w:rsid w:val="005D3565"/>
    <w:rsid w:val="005D3741"/>
    <w:rsid w:val="005D3842"/>
    <w:rsid w:val="005D49DA"/>
    <w:rsid w:val="005D62D8"/>
    <w:rsid w:val="005D67F8"/>
    <w:rsid w:val="005D6AFC"/>
    <w:rsid w:val="005D712D"/>
    <w:rsid w:val="005D718D"/>
    <w:rsid w:val="005D79C5"/>
    <w:rsid w:val="005D7DE6"/>
    <w:rsid w:val="005E165C"/>
    <w:rsid w:val="005E238F"/>
    <w:rsid w:val="005E2732"/>
    <w:rsid w:val="005E3F9F"/>
    <w:rsid w:val="005E4F2B"/>
    <w:rsid w:val="005E6D8A"/>
    <w:rsid w:val="005F073B"/>
    <w:rsid w:val="005F085D"/>
    <w:rsid w:val="005F0A0B"/>
    <w:rsid w:val="005F0D07"/>
    <w:rsid w:val="005F0E4E"/>
    <w:rsid w:val="005F30A0"/>
    <w:rsid w:val="005F366E"/>
    <w:rsid w:val="005F3814"/>
    <w:rsid w:val="005F4403"/>
    <w:rsid w:val="005F588F"/>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4DC"/>
    <w:rsid w:val="00614CD1"/>
    <w:rsid w:val="00614FCF"/>
    <w:rsid w:val="00615CD3"/>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4BE8"/>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FF4"/>
    <w:rsid w:val="006503A0"/>
    <w:rsid w:val="00650E37"/>
    <w:rsid w:val="00650E85"/>
    <w:rsid w:val="00652869"/>
    <w:rsid w:val="00652C82"/>
    <w:rsid w:val="00652D86"/>
    <w:rsid w:val="00652F24"/>
    <w:rsid w:val="00652FFF"/>
    <w:rsid w:val="00653F38"/>
    <w:rsid w:val="0065409A"/>
    <w:rsid w:val="00654CCF"/>
    <w:rsid w:val="00655D1E"/>
    <w:rsid w:val="00655F0E"/>
    <w:rsid w:val="0065682D"/>
    <w:rsid w:val="0065732C"/>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BE"/>
    <w:rsid w:val="00665DAE"/>
    <w:rsid w:val="00666086"/>
    <w:rsid w:val="00667501"/>
    <w:rsid w:val="00667F37"/>
    <w:rsid w:val="00670071"/>
    <w:rsid w:val="0067015A"/>
    <w:rsid w:val="0067017C"/>
    <w:rsid w:val="00670B14"/>
    <w:rsid w:val="00670DDA"/>
    <w:rsid w:val="00670FE6"/>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D7B"/>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3F7D"/>
    <w:rsid w:val="00694270"/>
    <w:rsid w:val="006944F3"/>
    <w:rsid w:val="00694B46"/>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7F7"/>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9B2"/>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198"/>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6D4"/>
    <w:rsid w:val="00710BCC"/>
    <w:rsid w:val="00710D5E"/>
    <w:rsid w:val="00711275"/>
    <w:rsid w:val="007116C6"/>
    <w:rsid w:val="00711888"/>
    <w:rsid w:val="00711E13"/>
    <w:rsid w:val="00712A7A"/>
    <w:rsid w:val="00712EDA"/>
    <w:rsid w:val="00713648"/>
    <w:rsid w:val="007143F8"/>
    <w:rsid w:val="007156B6"/>
    <w:rsid w:val="00715AFF"/>
    <w:rsid w:val="00715FD6"/>
    <w:rsid w:val="007162D8"/>
    <w:rsid w:val="0071705B"/>
    <w:rsid w:val="00720213"/>
    <w:rsid w:val="007202E7"/>
    <w:rsid w:val="007204EA"/>
    <w:rsid w:val="00721CB1"/>
    <w:rsid w:val="0072256E"/>
    <w:rsid w:val="00722DD1"/>
    <w:rsid w:val="0072313E"/>
    <w:rsid w:val="007236DB"/>
    <w:rsid w:val="00723BD3"/>
    <w:rsid w:val="00723C15"/>
    <w:rsid w:val="007249DE"/>
    <w:rsid w:val="00724B19"/>
    <w:rsid w:val="00724C95"/>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5D7B"/>
    <w:rsid w:val="00736325"/>
    <w:rsid w:val="00736418"/>
    <w:rsid w:val="00736FE1"/>
    <w:rsid w:val="007375A2"/>
    <w:rsid w:val="007401FE"/>
    <w:rsid w:val="007405B2"/>
    <w:rsid w:val="0074067F"/>
    <w:rsid w:val="00740832"/>
    <w:rsid w:val="00740CC9"/>
    <w:rsid w:val="007412C6"/>
    <w:rsid w:val="00743028"/>
    <w:rsid w:val="007433FE"/>
    <w:rsid w:val="007455FD"/>
    <w:rsid w:val="00745635"/>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B0F"/>
    <w:rsid w:val="00760F56"/>
    <w:rsid w:val="007613F5"/>
    <w:rsid w:val="00761485"/>
    <w:rsid w:val="00761FEE"/>
    <w:rsid w:val="0076273A"/>
    <w:rsid w:val="007633C9"/>
    <w:rsid w:val="007634D3"/>
    <w:rsid w:val="00763B3C"/>
    <w:rsid w:val="00763D35"/>
    <w:rsid w:val="00763EF1"/>
    <w:rsid w:val="00764794"/>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CB0"/>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3B38"/>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1FF9"/>
    <w:rsid w:val="007E212C"/>
    <w:rsid w:val="007E2419"/>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06E"/>
    <w:rsid w:val="00803A30"/>
    <w:rsid w:val="00804DEF"/>
    <w:rsid w:val="00804E1E"/>
    <w:rsid w:val="00804F2D"/>
    <w:rsid w:val="0080527E"/>
    <w:rsid w:val="00805924"/>
    <w:rsid w:val="00805994"/>
    <w:rsid w:val="0080716C"/>
    <w:rsid w:val="0080743E"/>
    <w:rsid w:val="008074C3"/>
    <w:rsid w:val="00807A07"/>
    <w:rsid w:val="00807DC4"/>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5CFD"/>
    <w:rsid w:val="00835D51"/>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1CC2"/>
    <w:rsid w:val="008620E7"/>
    <w:rsid w:val="008627F9"/>
    <w:rsid w:val="00862C9D"/>
    <w:rsid w:val="008632B9"/>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2D5"/>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97F26"/>
    <w:rsid w:val="008A1DD7"/>
    <w:rsid w:val="008A338F"/>
    <w:rsid w:val="008A36E4"/>
    <w:rsid w:val="008A4146"/>
    <w:rsid w:val="008A416F"/>
    <w:rsid w:val="008A4614"/>
    <w:rsid w:val="008A5008"/>
    <w:rsid w:val="008A5258"/>
    <w:rsid w:val="008A620C"/>
    <w:rsid w:val="008A66DC"/>
    <w:rsid w:val="008A7340"/>
    <w:rsid w:val="008B016F"/>
    <w:rsid w:val="008B0564"/>
    <w:rsid w:val="008B0916"/>
    <w:rsid w:val="008B171F"/>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790"/>
    <w:rsid w:val="008C0FEE"/>
    <w:rsid w:val="008C1AC8"/>
    <w:rsid w:val="008C1AD6"/>
    <w:rsid w:val="008C1DC0"/>
    <w:rsid w:val="008C1FE3"/>
    <w:rsid w:val="008C2658"/>
    <w:rsid w:val="008C2964"/>
    <w:rsid w:val="008C2C58"/>
    <w:rsid w:val="008C375E"/>
    <w:rsid w:val="008C4325"/>
    <w:rsid w:val="008C4C4D"/>
    <w:rsid w:val="008C62C8"/>
    <w:rsid w:val="008C6308"/>
    <w:rsid w:val="008C6EF2"/>
    <w:rsid w:val="008C7160"/>
    <w:rsid w:val="008D0543"/>
    <w:rsid w:val="008D1550"/>
    <w:rsid w:val="008D1EA2"/>
    <w:rsid w:val="008D2946"/>
    <w:rsid w:val="008D29C5"/>
    <w:rsid w:val="008D3C06"/>
    <w:rsid w:val="008D401E"/>
    <w:rsid w:val="008D4596"/>
    <w:rsid w:val="008D51B2"/>
    <w:rsid w:val="008D6A5D"/>
    <w:rsid w:val="008D707B"/>
    <w:rsid w:val="008D75B2"/>
    <w:rsid w:val="008D75C6"/>
    <w:rsid w:val="008E06FE"/>
    <w:rsid w:val="008E0F52"/>
    <w:rsid w:val="008E103B"/>
    <w:rsid w:val="008E13F3"/>
    <w:rsid w:val="008E1644"/>
    <w:rsid w:val="008E1A57"/>
    <w:rsid w:val="008E1D83"/>
    <w:rsid w:val="008E22D5"/>
    <w:rsid w:val="008E39E6"/>
    <w:rsid w:val="008E4269"/>
    <w:rsid w:val="008E42A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369"/>
    <w:rsid w:val="0090350E"/>
    <w:rsid w:val="00903C0A"/>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20E"/>
    <w:rsid w:val="0091466E"/>
    <w:rsid w:val="00915311"/>
    <w:rsid w:val="00915531"/>
    <w:rsid w:val="00915849"/>
    <w:rsid w:val="009159A4"/>
    <w:rsid w:val="00915B81"/>
    <w:rsid w:val="00917344"/>
    <w:rsid w:val="0092067F"/>
    <w:rsid w:val="009206D7"/>
    <w:rsid w:val="0092101F"/>
    <w:rsid w:val="009216CA"/>
    <w:rsid w:val="00921F0F"/>
    <w:rsid w:val="009227EA"/>
    <w:rsid w:val="00922B26"/>
    <w:rsid w:val="00922CFC"/>
    <w:rsid w:val="009239C1"/>
    <w:rsid w:val="00924896"/>
    <w:rsid w:val="00924A85"/>
    <w:rsid w:val="00925776"/>
    <w:rsid w:val="00926359"/>
    <w:rsid w:val="00927095"/>
    <w:rsid w:val="00927C14"/>
    <w:rsid w:val="00927E04"/>
    <w:rsid w:val="009300B2"/>
    <w:rsid w:val="00930A5D"/>
    <w:rsid w:val="00930C42"/>
    <w:rsid w:val="00931448"/>
    <w:rsid w:val="00931ACC"/>
    <w:rsid w:val="00931D43"/>
    <w:rsid w:val="0093373F"/>
    <w:rsid w:val="00933D3E"/>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DFC"/>
    <w:rsid w:val="009705AA"/>
    <w:rsid w:val="00970DD5"/>
    <w:rsid w:val="009711E0"/>
    <w:rsid w:val="009715AB"/>
    <w:rsid w:val="00972090"/>
    <w:rsid w:val="009720AB"/>
    <w:rsid w:val="00972232"/>
    <w:rsid w:val="00972697"/>
    <w:rsid w:val="00972BF4"/>
    <w:rsid w:val="0097313A"/>
    <w:rsid w:val="0097371B"/>
    <w:rsid w:val="00973C34"/>
    <w:rsid w:val="009748BF"/>
    <w:rsid w:val="00974F09"/>
    <w:rsid w:val="009756ED"/>
    <w:rsid w:val="00976F48"/>
    <w:rsid w:val="00977746"/>
    <w:rsid w:val="00980501"/>
    <w:rsid w:val="0098092C"/>
    <w:rsid w:val="00981C49"/>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A87"/>
    <w:rsid w:val="00992E50"/>
    <w:rsid w:val="00993836"/>
    <w:rsid w:val="00994B77"/>
    <w:rsid w:val="00995F6F"/>
    <w:rsid w:val="00995FB5"/>
    <w:rsid w:val="00996202"/>
    <w:rsid w:val="00997F19"/>
    <w:rsid w:val="009A03E1"/>
    <w:rsid w:val="009A0E19"/>
    <w:rsid w:val="009A16BB"/>
    <w:rsid w:val="009A1B69"/>
    <w:rsid w:val="009A280F"/>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503"/>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66BB"/>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687"/>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52D"/>
    <w:rsid w:val="009F36A4"/>
    <w:rsid w:val="009F3B7E"/>
    <w:rsid w:val="009F3C53"/>
    <w:rsid w:val="009F409E"/>
    <w:rsid w:val="009F42DF"/>
    <w:rsid w:val="009F494C"/>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4123"/>
    <w:rsid w:val="00A04CAD"/>
    <w:rsid w:val="00A04E9B"/>
    <w:rsid w:val="00A0528D"/>
    <w:rsid w:val="00A0542C"/>
    <w:rsid w:val="00A05E58"/>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C42"/>
    <w:rsid w:val="00A14D40"/>
    <w:rsid w:val="00A1575C"/>
    <w:rsid w:val="00A15A24"/>
    <w:rsid w:val="00A15A9B"/>
    <w:rsid w:val="00A16294"/>
    <w:rsid w:val="00A16E81"/>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92"/>
    <w:rsid w:val="00A40227"/>
    <w:rsid w:val="00A40E01"/>
    <w:rsid w:val="00A4171B"/>
    <w:rsid w:val="00A41E43"/>
    <w:rsid w:val="00A42024"/>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B4E"/>
    <w:rsid w:val="00A53CB5"/>
    <w:rsid w:val="00A54471"/>
    <w:rsid w:val="00A54F15"/>
    <w:rsid w:val="00A54F4E"/>
    <w:rsid w:val="00A5592F"/>
    <w:rsid w:val="00A55D1A"/>
    <w:rsid w:val="00A55D30"/>
    <w:rsid w:val="00A57834"/>
    <w:rsid w:val="00A578CE"/>
    <w:rsid w:val="00A60A02"/>
    <w:rsid w:val="00A60EDB"/>
    <w:rsid w:val="00A612D1"/>
    <w:rsid w:val="00A6147B"/>
    <w:rsid w:val="00A62EE1"/>
    <w:rsid w:val="00A630DE"/>
    <w:rsid w:val="00A6316D"/>
    <w:rsid w:val="00A63519"/>
    <w:rsid w:val="00A63F0A"/>
    <w:rsid w:val="00A641E4"/>
    <w:rsid w:val="00A6458B"/>
    <w:rsid w:val="00A64C66"/>
    <w:rsid w:val="00A655AE"/>
    <w:rsid w:val="00A65A8E"/>
    <w:rsid w:val="00A66007"/>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0FED"/>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59F"/>
    <w:rsid w:val="00A926A1"/>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4DC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6C9"/>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6D7E"/>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CA8"/>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16C5B"/>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3CC4"/>
    <w:rsid w:val="00B44A37"/>
    <w:rsid w:val="00B44CE6"/>
    <w:rsid w:val="00B45355"/>
    <w:rsid w:val="00B46640"/>
    <w:rsid w:val="00B46916"/>
    <w:rsid w:val="00B4765C"/>
    <w:rsid w:val="00B50617"/>
    <w:rsid w:val="00B507D3"/>
    <w:rsid w:val="00B50D62"/>
    <w:rsid w:val="00B51741"/>
    <w:rsid w:val="00B5213A"/>
    <w:rsid w:val="00B5342F"/>
    <w:rsid w:val="00B53D99"/>
    <w:rsid w:val="00B542EC"/>
    <w:rsid w:val="00B544E6"/>
    <w:rsid w:val="00B54668"/>
    <w:rsid w:val="00B54B07"/>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088"/>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7D00"/>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11D"/>
    <w:rsid w:val="00C024FC"/>
    <w:rsid w:val="00C04D33"/>
    <w:rsid w:val="00C054FB"/>
    <w:rsid w:val="00C05A60"/>
    <w:rsid w:val="00C0702E"/>
    <w:rsid w:val="00C071A7"/>
    <w:rsid w:val="00C07667"/>
    <w:rsid w:val="00C11BEB"/>
    <w:rsid w:val="00C123C3"/>
    <w:rsid w:val="00C1241F"/>
    <w:rsid w:val="00C1274B"/>
    <w:rsid w:val="00C129F5"/>
    <w:rsid w:val="00C13014"/>
    <w:rsid w:val="00C135E3"/>
    <w:rsid w:val="00C13D66"/>
    <w:rsid w:val="00C14541"/>
    <w:rsid w:val="00C14773"/>
    <w:rsid w:val="00C1478B"/>
    <w:rsid w:val="00C150C6"/>
    <w:rsid w:val="00C15EDB"/>
    <w:rsid w:val="00C1675B"/>
    <w:rsid w:val="00C16C46"/>
    <w:rsid w:val="00C16C4F"/>
    <w:rsid w:val="00C16CA0"/>
    <w:rsid w:val="00C20531"/>
    <w:rsid w:val="00C20BD5"/>
    <w:rsid w:val="00C20CA8"/>
    <w:rsid w:val="00C223EF"/>
    <w:rsid w:val="00C2253B"/>
    <w:rsid w:val="00C2255D"/>
    <w:rsid w:val="00C22B9D"/>
    <w:rsid w:val="00C25681"/>
    <w:rsid w:val="00C26CD4"/>
    <w:rsid w:val="00C275B1"/>
    <w:rsid w:val="00C31852"/>
    <w:rsid w:val="00C31878"/>
    <w:rsid w:val="00C3187D"/>
    <w:rsid w:val="00C3190D"/>
    <w:rsid w:val="00C328B1"/>
    <w:rsid w:val="00C32C8F"/>
    <w:rsid w:val="00C32CA6"/>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BBF"/>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01B"/>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E0C"/>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1DDB"/>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1D2"/>
    <w:rsid w:val="00D064E8"/>
    <w:rsid w:val="00D06708"/>
    <w:rsid w:val="00D06AE8"/>
    <w:rsid w:val="00D07CAE"/>
    <w:rsid w:val="00D07F0C"/>
    <w:rsid w:val="00D10390"/>
    <w:rsid w:val="00D1088D"/>
    <w:rsid w:val="00D108F5"/>
    <w:rsid w:val="00D109D9"/>
    <w:rsid w:val="00D11114"/>
    <w:rsid w:val="00D11414"/>
    <w:rsid w:val="00D118DB"/>
    <w:rsid w:val="00D12359"/>
    <w:rsid w:val="00D124DB"/>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6D6"/>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689E"/>
    <w:rsid w:val="00D37E2C"/>
    <w:rsid w:val="00D40835"/>
    <w:rsid w:val="00D41ADD"/>
    <w:rsid w:val="00D433D2"/>
    <w:rsid w:val="00D44018"/>
    <w:rsid w:val="00D440BD"/>
    <w:rsid w:val="00D44806"/>
    <w:rsid w:val="00D44A4C"/>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67B3C"/>
    <w:rsid w:val="00D70107"/>
    <w:rsid w:val="00D701D6"/>
    <w:rsid w:val="00D70B9C"/>
    <w:rsid w:val="00D70DD4"/>
    <w:rsid w:val="00D7181F"/>
    <w:rsid w:val="00D72111"/>
    <w:rsid w:val="00D72D63"/>
    <w:rsid w:val="00D72F5C"/>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449"/>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5C26"/>
    <w:rsid w:val="00DE6DE9"/>
    <w:rsid w:val="00DE719E"/>
    <w:rsid w:val="00DE77F5"/>
    <w:rsid w:val="00DE7C46"/>
    <w:rsid w:val="00DF0205"/>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8"/>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10BA"/>
    <w:rsid w:val="00E212E9"/>
    <w:rsid w:val="00E21526"/>
    <w:rsid w:val="00E21B33"/>
    <w:rsid w:val="00E24656"/>
    <w:rsid w:val="00E24C4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AFB"/>
    <w:rsid w:val="00E51CE8"/>
    <w:rsid w:val="00E51E73"/>
    <w:rsid w:val="00E51F46"/>
    <w:rsid w:val="00E52365"/>
    <w:rsid w:val="00E524D6"/>
    <w:rsid w:val="00E52EC8"/>
    <w:rsid w:val="00E54D5E"/>
    <w:rsid w:val="00E560E9"/>
    <w:rsid w:val="00E57BAF"/>
    <w:rsid w:val="00E60826"/>
    <w:rsid w:val="00E61961"/>
    <w:rsid w:val="00E62033"/>
    <w:rsid w:val="00E62369"/>
    <w:rsid w:val="00E626CB"/>
    <w:rsid w:val="00E630D7"/>
    <w:rsid w:val="00E63979"/>
    <w:rsid w:val="00E640CC"/>
    <w:rsid w:val="00E65B52"/>
    <w:rsid w:val="00E66098"/>
    <w:rsid w:val="00E66261"/>
    <w:rsid w:val="00E664B1"/>
    <w:rsid w:val="00E6686F"/>
    <w:rsid w:val="00E674C4"/>
    <w:rsid w:val="00E675D3"/>
    <w:rsid w:val="00E67C1A"/>
    <w:rsid w:val="00E70664"/>
    <w:rsid w:val="00E71E56"/>
    <w:rsid w:val="00E723A7"/>
    <w:rsid w:val="00E7338E"/>
    <w:rsid w:val="00E73EAD"/>
    <w:rsid w:val="00E74212"/>
    <w:rsid w:val="00E744E6"/>
    <w:rsid w:val="00E748A8"/>
    <w:rsid w:val="00E74DCB"/>
    <w:rsid w:val="00E7550D"/>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03C"/>
    <w:rsid w:val="00E96745"/>
    <w:rsid w:val="00E9707C"/>
    <w:rsid w:val="00E97137"/>
    <w:rsid w:val="00EA061A"/>
    <w:rsid w:val="00EA073A"/>
    <w:rsid w:val="00EA0FCF"/>
    <w:rsid w:val="00EA1D43"/>
    <w:rsid w:val="00EA1ED4"/>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D4B"/>
    <w:rsid w:val="00EB3F39"/>
    <w:rsid w:val="00EB434D"/>
    <w:rsid w:val="00EB584A"/>
    <w:rsid w:val="00EB5AE2"/>
    <w:rsid w:val="00EB6399"/>
    <w:rsid w:val="00EB6547"/>
    <w:rsid w:val="00EB6AC8"/>
    <w:rsid w:val="00EB728A"/>
    <w:rsid w:val="00EB763C"/>
    <w:rsid w:val="00EB7F1C"/>
    <w:rsid w:val="00EC1BA5"/>
    <w:rsid w:val="00EC1D78"/>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0B"/>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93E"/>
    <w:rsid w:val="00EF0BCA"/>
    <w:rsid w:val="00EF0E17"/>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59EC"/>
    <w:rsid w:val="00F25C3D"/>
    <w:rsid w:val="00F271E2"/>
    <w:rsid w:val="00F274EE"/>
    <w:rsid w:val="00F275FD"/>
    <w:rsid w:val="00F27706"/>
    <w:rsid w:val="00F27AF8"/>
    <w:rsid w:val="00F27B45"/>
    <w:rsid w:val="00F27DFB"/>
    <w:rsid w:val="00F306D6"/>
    <w:rsid w:val="00F3182D"/>
    <w:rsid w:val="00F320B0"/>
    <w:rsid w:val="00F326B2"/>
    <w:rsid w:val="00F32793"/>
    <w:rsid w:val="00F328AC"/>
    <w:rsid w:val="00F32B07"/>
    <w:rsid w:val="00F3547F"/>
    <w:rsid w:val="00F357EE"/>
    <w:rsid w:val="00F360E9"/>
    <w:rsid w:val="00F41DEF"/>
    <w:rsid w:val="00F429B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1AA"/>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339D"/>
    <w:rsid w:val="00F94182"/>
    <w:rsid w:val="00F9443F"/>
    <w:rsid w:val="00F94559"/>
    <w:rsid w:val="00F94CBE"/>
    <w:rsid w:val="00F95061"/>
    <w:rsid w:val="00F95166"/>
    <w:rsid w:val="00F952B4"/>
    <w:rsid w:val="00F95F6B"/>
    <w:rsid w:val="00F9606B"/>
    <w:rsid w:val="00F96550"/>
    <w:rsid w:val="00F9657A"/>
    <w:rsid w:val="00F96E5C"/>
    <w:rsid w:val="00F97BCD"/>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5960"/>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6D2"/>
    <w:rsid w:val="00FC0163"/>
    <w:rsid w:val="00FC0687"/>
    <w:rsid w:val="00FC0E66"/>
    <w:rsid w:val="00FC1C03"/>
    <w:rsid w:val="00FC1EEE"/>
    <w:rsid w:val="00FC201D"/>
    <w:rsid w:val="00FC22E8"/>
    <w:rsid w:val="00FC2560"/>
    <w:rsid w:val="00FC2864"/>
    <w:rsid w:val="00FC2F6F"/>
    <w:rsid w:val="00FC3478"/>
    <w:rsid w:val="00FC365A"/>
    <w:rsid w:val="00FC396F"/>
    <w:rsid w:val="00FC3AEE"/>
    <w:rsid w:val="00FC3FFB"/>
    <w:rsid w:val="00FC4453"/>
    <w:rsid w:val="00FC44B4"/>
    <w:rsid w:val="00FC45AC"/>
    <w:rsid w:val="00FC4B60"/>
    <w:rsid w:val="00FC5DD9"/>
    <w:rsid w:val="00FD0411"/>
    <w:rsid w:val="00FD060A"/>
    <w:rsid w:val="00FD06C1"/>
    <w:rsid w:val="00FD0A05"/>
    <w:rsid w:val="00FD1690"/>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207"/>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F2FCBD"/>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301B"/>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A30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301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FooterChar">
    <w:name w:val="Footer Char"/>
    <w:basedOn w:val="DefaultParagraphFont"/>
    <w:link w:val="Footer"/>
    <w:uiPriority w:val="99"/>
    <w:rsid w:val="00A9259F"/>
    <w:rPr>
      <w:rFonts w:ascii="Arial" w:hAnsi="Arial"/>
      <w:b/>
      <w: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9833683">
      <w:bodyDiv w:val="1"/>
      <w:marLeft w:val="0"/>
      <w:marRight w:val="0"/>
      <w:marTop w:val="0"/>
      <w:marBottom w:val="0"/>
      <w:divBdr>
        <w:top w:val="none" w:sz="0" w:space="0" w:color="auto"/>
        <w:left w:val="none" w:sz="0" w:space="0" w:color="auto"/>
        <w:bottom w:val="none" w:sz="0" w:space="0" w:color="auto"/>
        <w:right w:val="none" w:sz="0" w:space="0" w:color="auto"/>
      </w:divBdr>
      <w:divsChild>
        <w:div w:id="983969620">
          <w:marLeft w:val="547"/>
          <w:marRight w:val="0"/>
          <w:marTop w:val="106"/>
          <w:marBottom w:val="0"/>
          <w:divBdr>
            <w:top w:val="none" w:sz="0" w:space="0" w:color="auto"/>
            <w:left w:val="none" w:sz="0" w:space="0" w:color="auto"/>
            <w:bottom w:val="none" w:sz="0" w:space="0" w:color="auto"/>
            <w:right w:val="none" w:sz="0" w:space="0" w:color="auto"/>
          </w:divBdr>
        </w:div>
        <w:div w:id="1258244801">
          <w:marLeft w:val="1166"/>
          <w:marRight w:val="0"/>
          <w:marTop w:val="96"/>
          <w:marBottom w:val="0"/>
          <w:divBdr>
            <w:top w:val="none" w:sz="0" w:space="0" w:color="auto"/>
            <w:left w:val="none" w:sz="0" w:space="0" w:color="auto"/>
            <w:bottom w:val="none" w:sz="0" w:space="0" w:color="auto"/>
            <w:right w:val="none" w:sz="0" w:space="0" w:color="auto"/>
          </w:divBdr>
        </w:div>
        <w:div w:id="1989825871">
          <w:marLeft w:val="547"/>
          <w:marRight w:val="0"/>
          <w:marTop w:val="106"/>
          <w:marBottom w:val="0"/>
          <w:divBdr>
            <w:top w:val="none" w:sz="0" w:space="0" w:color="auto"/>
            <w:left w:val="none" w:sz="0" w:space="0" w:color="auto"/>
            <w:bottom w:val="none" w:sz="0" w:space="0" w:color="auto"/>
            <w:right w:val="none" w:sz="0" w:space="0" w:color="auto"/>
          </w:divBdr>
        </w:div>
        <w:div w:id="1512793339">
          <w:marLeft w:val="547"/>
          <w:marRight w:val="0"/>
          <w:marTop w:val="106"/>
          <w:marBottom w:val="0"/>
          <w:divBdr>
            <w:top w:val="none" w:sz="0" w:space="0" w:color="auto"/>
            <w:left w:val="none" w:sz="0" w:space="0" w:color="auto"/>
            <w:bottom w:val="none" w:sz="0" w:space="0" w:color="auto"/>
            <w:right w:val="none" w:sz="0" w:space="0" w:color="auto"/>
          </w:divBdr>
        </w:div>
        <w:div w:id="1220553621">
          <w:marLeft w:val="547"/>
          <w:marRight w:val="0"/>
          <w:marTop w:val="106"/>
          <w:marBottom w:val="0"/>
          <w:divBdr>
            <w:top w:val="none" w:sz="0" w:space="0" w:color="auto"/>
            <w:left w:val="none" w:sz="0" w:space="0" w:color="auto"/>
            <w:bottom w:val="none" w:sz="0" w:space="0" w:color="auto"/>
            <w:right w:val="none" w:sz="0" w:space="0" w:color="auto"/>
          </w:divBdr>
        </w:div>
        <w:div w:id="1199204251">
          <w:marLeft w:val="547"/>
          <w:marRight w:val="0"/>
          <w:marTop w:val="106"/>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4.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5.xml><?xml version="1.0" encoding="utf-8"?>
<ds:datastoreItem xmlns:ds="http://schemas.openxmlformats.org/officeDocument/2006/customXml" ds:itemID="{AEC803E3-66CC-438E-8904-31690B2F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4166</TotalTime>
  <Pages>8</Pages>
  <Words>2377</Words>
  <Characters>13552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15898</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119</cp:revision>
  <dcterms:created xsi:type="dcterms:W3CDTF">2017-01-27T06:49:00Z</dcterms:created>
  <dcterms:modified xsi:type="dcterms:W3CDTF">2017-05-06T09:25:00Z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